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id w:val="1605768939"/>
        <w:lock w:val="sdtContentLocked"/>
        <w:placeholder>
          <w:docPart w:val="DefaultPlaceholder_-1854013440"/>
        </w:placeholder>
        <w:group/>
      </w:sdtPr>
      <w:sdtEndPr/>
      <w:sdtContent>
        <w:p w14:paraId="3EC6A937" w14:textId="77777777" w:rsidR="00B5626B" w:rsidRPr="004456ED" w:rsidRDefault="006E3D16" w:rsidP="00262627">
          <w:pPr>
            <w:pStyle w:val="Heading1"/>
            <w:rPr>
              <w:sz w:val="22"/>
              <w:szCs w:val="22"/>
            </w:rPr>
          </w:pPr>
          <w:r w:rsidRPr="00267D58">
            <w:rPr>
              <w:rStyle w:val="Heading1Char"/>
              <w:rFonts w:ascii="Lucida Bright" w:hAnsi="Lucida Bright"/>
              <w:sz w:val="28"/>
            </w:rPr>
            <w:t>COMMISSIONER’S RESPONSE TO PUBLIC COMMENT</w:t>
          </w:r>
        </w:p>
      </w:sdtContent>
    </w:sdt>
    <w:sdt>
      <w:sdtPr>
        <w:rPr>
          <w:rFonts w:ascii="Times New Roman" w:eastAsia="Times New Roman" w:hAnsi="Times New Roman" w:cs="Times New Roman"/>
        </w:rPr>
        <w:id w:val="746234379"/>
        <w:lock w:val="sdtContentLocked"/>
        <w:placeholder>
          <w:docPart w:val="DefaultPlaceholder_-1854013440"/>
        </w:placeholder>
        <w:group/>
      </w:sdtPr>
      <w:sdtEndPr>
        <w:rPr>
          <w:sz w:val="22"/>
          <w:szCs w:val="22"/>
        </w:rPr>
      </w:sdtEndPr>
      <w:sdtContent>
        <w:p w14:paraId="6656801E" w14:textId="77777777" w:rsidR="006E3D16" w:rsidRPr="004456ED" w:rsidRDefault="006E3D16" w:rsidP="00262627">
          <w:pPr>
            <w:pStyle w:val="BodyText"/>
          </w:pPr>
          <w:r w:rsidRPr="004456ED">
            <w:t>The Texas Commission on Environmental Quality (commission or TCEQ) adopts this Response to Public Comment (Response) on Concentrated Animal Feeding Operations (CAFO</w:t>
          </w:r>
          <w:r w:rsidR="00D8293C">
            <w:t>s</w:t>
          </w:r>
          <w:r w:rsidRPr="004456ED">
            <w:t>) general permit TXG920000 (CAFO GP)</w:t>
          </w:r>
          <w:r w:rsidR="00E61242">
            <w:t>. The CAFO GP</w:t>
          </w:r>
          <w:r w:rsidRPr="004456ED">
            <w:t xml:space="preserve"> authorizes the discharge of manure, sludge, and wastewater under chronic or catastrophic rainfall conditions or events. As required by Texas Water Code (TWC), §26.040(d) and Title 30 Texas Administrative Code (30 TAC) Section (§)205.3(c), before a general permit is issued, the Executive Director </w:t>
          </w:r>
          <w:r w:rsidR="001612CC">
            <w:t xml:space="preserve">(ED) </w:t>
          </w:r>
          <w:r w:rsidRPr="004456ED">
            <w:t xml:space="preserve">must prepare a response to all timely, relevant and material, or significant comments. The response must be made available to the public and filed with the Office of the Chief Clerk at least ten days before the Commission considers the approval of the general permit. This response addresses all timely received public comments, whether or not withdrawn.  Timely public comments were received from Brad Tomlinson, </w:t>
          </w:r>
          <w:r w:rsidR="00EE4CE6" w:rsidRPr="004456ED">
            <w:t>Andy Rif</w:t>
          </w:r>
          <w:r w:rsidR="005842D6" w:rsidRPr="004456ED">
            <w:t>f</w:t>
          </w:r>
          <w:r w:rsidR="00EE4CE6" w:rsidRPr="004456ED">
            <w:t>e</w:t>
          </w:r>
          <w:r w:rsidR="00C668F2">
            <w:t>, submitted on his behalf by Erich Birch with Birch, Becker &amp; Moorman, LLP</w:t>
          </w:r>
          <w:r w:rsidR="00EE4CE6" w:rsidRPr="004456ED">
            <w:t xml:space="preserve">, </w:t>
          </w:r>
          <w:r w:rsidR="00C668F2">
            <w:t xml:space="preserve">and </w:t>
          </w:r>
          <w:r w:rsidR="008C4CE1">
            <w:t xml:space="preserve">Ben Weinheimer, on behalf of </w:t>
          </w:r>
          <w:r w:rsidR="00C668F2">
            <w:t xml:space="preserve">the </w:t>
          </w:r>
          <w:r w:rsidRPr="004456ED">
            <w:t xml:space="preserve">Texas Association of Dairymen, </w:t>
          </w:r>
          <w:r w:rsidR="008C4CE1">
            <w:t xml:space="preserve">the </w:t>
          </w:r>
          <w:r w:rsidRPr="004456ED">
            <w:t xml:space="preserve">Texas Cattle Feeders Association, </w:t>
          </w:r>
          <w:r w:rsidR="008C4CE1">
            <w:t xml:space="preserve">the </w:t>
          </w:r>
          <w:r w:rsidRPr="004456ED">
            <w:t xml:space="preserve">Texas Farm Bureau, </w:t>
          </w:r>
          <w:r w:rsidR="008C4CE1">
            <w:t xml:space="preserve">the </w:t>
          </w:r>
          <w:r w:rsidRPr="004456ED">
            <w:t xml:space="preserve">Texas Pork Producers Association and </w:t>
          </w:r>
          <w:r w:rsidR="008C4CE1">
            <w:t xml:space="preserve">the </w:t>
          </w:r>
          <w:r w:rsidRPr="004456ED">
            <w:t>Texas Poultry Federation</w:t>
          </w:r>
          <w:r w:rsidR="00D6013B" w:rsidRPr="004456ED">
            <w:t xml:space="preserve"> and Affiliates</w:t>
          </w:r>
          <w:r w:rsidR="008C4CE1">
            <w:t xml:space="preserve"> (</w:t>
          </w:r>
          <w:bookmarkStart w:id="0" w:name="_Hlk5893195"/>
          <w:r w:rsidR="008C4CE1">
            <w:t>CAFO Industry Groups</w:t>
          </w:r>
          <w:bookmarkEnd w:id="0"/>
          <w:r w:rsidR="00C668F2">
            <w:t>)</w:t>
          </w:r>
          <w:r w:rsidRPr="004456ED">
            <w:t>.</w:t>
          </w:r>
        </w:p>
        <w:p w14:paraId="1F7DDEA9" w14:textId="77777777" w:rsidR="006E3D16" w:rsidRPr="004456ED" w:rsidRDefault="006E3D16" w:rsidP="00C0591A">
          <w:pPr>
            <w:widowControl/>
            <w:spacing w:after="240"/>
            <w:rPr>
              <w:rFonts w:ascii="Lucida Bright" w:hAnsi="Lucida Bright"/>
              <w:sz w:val="22"/>
              <w:szCs w:val="22"/>
            </w:rPr>
          </w:pPr>
          <w:r w:rsidRPr="004456ED">
            <w:rPr>
              <w:rFonts w:ascii="Lucida Bright" w:hAnsi="Lucida Bright"/>
              <w:sz w:val="22"/>
              <w:szCs w:val="22"/>
            </w:rPr>
            <w:t xml:space="preserve">If you need more information about this permit or the wastewater permitting process, please call the TCEQ Office of Public Assistance at 1-800-687-4040. Additionally, general information about the TCEQ can be found at our website at </w:t>
          </w:r>
          <w:hyperlink r:id="rId8" w:history="1">
            <w:r w:rsidRPr="004456ED">
              <w:rPr>
                <w:rStyle w:val="Hyperlink"/>
                <w:rFonts w:ascii="Lucida Bright" w:hAnsi="Lucida Bright"/>
                <w:sz w:val="22"/>
                <w:szCs w:val="22"/>
              </w:rPr>
              <w:t>www.tceq.texas.gov</w:t>
            </w:r>
          </w:hyperlink>
          <w:r w:rsidRPr="004456ED">
            <w:rPr>
              <w:rFonts w:ascii="Lucida Bright" w:hAnsi="Lucida Bright"/>
              <w:sz w:val="22"/>
              <w:szCs w:val="22"/>
            </w:rPr>
            <w:t>.</w:t>
          </w:r>
        </w:p>
      </w:sdtContent>
    </w:sdt>
    <w:sdt>
      <w:sdtPr>
        <w:rPr>
          <w:b/>
          <w:caps/>
          <w:sz w:val="22"/>
          <w:szCs w:val="22"/>
          <w:u w:val="single"/>
        </w:rPr>
        <w:id w:val="-544828311"/>
        <w:lock w:val="sdtContentLocked"/>
        <w:placeholder>
          <w:docPart w:val="DefaultPlaceholder_-1854013440"/>
        </w:placeholder>
        <w:group/>
      </w:sdtPr>
      <w:sdtEndPr/>
      <w:sdtContent>
        <w:p w14:paraId="3AD3B21E" w14:textId="77777777" w:rsidR="006E3D16" w:rsidRPr="0052745C" w:rsidRDefault="006E3D16" w:rsidP="0052745C">
          <w:pPr>
            <w:pStyle w:val="BodyText"/>
            <w:spacing w:before="240"/>
            <w:jc w:val="center"/>
            <w:rPr>
              <w:b/>
              <w:caps/>
              <w:sz w:val="22"/>
              <w:szCs w:val="22"/>
              <w:u w:val="single"/>
            </w:rPr>
          </w:pPr>
          <w:r w:rsidRPr="00267D58">
            <w:rPr>
              <w:rStyle w:val="Heading2Char"/>
              <w:rFonts w:ascii="Lucida Bright" w:hAnsi="Lucida Bright"/>
              <w:sz w:val="22"/>
              <w:szCs w:val="22"/>
            </w:rPr>
            <w:t>Background</w:t>
          </w:r>
        </w:p>
      </w:sdtContent>
    </w:sdt>
    <w:sdt>
      <w:sdtPr>
        <w:rPr>
          <w:rFonts w:ascii="Lucida Bright" w:hAnsi="Lucida Bright"/>
          <w:sz w:val="22"/>
          <w:szCs w:val="22"/>
        </w:rPr>
        <w:id w:val="-357271001"/>
        <w:lock w:val="sdtContentLocked"/>
        <w:placeholder>
          <w:docPart w:val="DefaultPlaceholder_-1854013440"/>
        </w:placeholder>
        <w:group/>
      </w:sdtPr>
      <w:sdtEndPr/>
      <w:sdtContent>
        <w:p w14:paraId="6664EFA1" w14:textId="77777777" w:rsidR="006E3D16" w:rsidRDefault="00433289" w:rsidP="006E3D16">
          <w:pPr>
            <w:spacing w:after="240"/>
            <w:rPr>
              <w:rFonts w:ascii="Lucida Bright" w:hAnsi="Lucida Bright"/>
              <w:sz w:val="22"/>
              <w:szCs w:val="22"/>
            </w:rPr>
          </w:pPr>
          <w:r w:rsidRPr="004456ED">
            <w:rPr>
              <w:rFonts w:ascii="Lucida Bright" w:hAnsi="Lucida Bright"/>
              <w:sz w:val="22"/>
              <w:szCs w:val="22"/>
            </w:rPr>
            <w:t>This is a renewal with amendment of a Texas Pollutant Discharge Elimination System /</w:t>
          </w:r>
          <w:r w:rsidR="00AB3CE2">
            <w:rPr>
              <w:rFonts w:ascii="Lucida Bright" w:hAnsi="Lucida Bright"/>
              <w:sz w:val="22"/>
              <w:szCs w:val="22"/>
            </w:rPr>
            <w:t xml:space="preserve"> </w:t>
          </w:r>
          <w:r w:rsidRPr="004456ED">
            <w:rPr>
              <w:rFonts w:ascii="Lucida Bright" w:hAnsi="Lucida Bright"/>
              <w:sz w:val="22"/>
              <w:szCs w:val="22"/>
            </w:rPr>
            <w:t xml:space="preserve">State </w:t>
          </w:r>
          <w:r w:rsidR="00D8293C">
            <w:rPr>
              <w:rFonts w:ascii="Lucida Bright" w:hAnsi="Lucida Bright"/>
              <w:sz w:val="22"/>
              <w:szCs w:val="22"/>
            </w:rPr>
            <w:t>G</w:t>
          </w:r>
          <w:r w:rsidRPr="004456ED">
            <w:rPr>
              <w:rFonts w:ascii="Lucida Bright" w:hAnsi="Lucida Bright"/>
              <w:sz w:val="22"/>
              <w:szCs w:val="22"/>
            </w:rPr>
            <w:t xml:space="preserve">eneral </w:t>
          </w:r>
          <w:r w:rsidR="00D8293C">
            <w:rPr>
              <w:rFonts w:ascii="Lucida Bright" w:hAnsi="Lucida Bright"/>
              <w:sz w:val="22"/>
              <w:szCs w:val="22"/>
            </w:rPr>
            <w:t>P</w:t>
          </w:r>
          <w:r w:rsidRPr="004456ED">
            <w:rPr>
              <w:rFonts w:ascii="Lucida Bright" w:hAnsi="Lucida Bright"/>
              <w:sz w:val="22"/>
              <w:szCs w:val="22"/>
            </w:rPr>
            <w:t>ermit authorizing Concentrated Animal Feeding Operations in the state</w:t>
          </w:r>
          <w:r w:rsidR="00923D5E">
            <w:rPr>
              <w:rFonts w:ascii="Lucida Bright" w:hAnsi="Lucida Bright"/>
              <w:sz w:val="22"/>
              <w:szCs w:val="22"/>
            </w:rPr>
            <w:t xml:space="preserve"> of Texas</w:t>
          </w:r>
          <w:r w:rsidRPr="004456ED">
            <w:rPr>
              <w:rFonts w:ascii="Lucida Bright" w:hAnsi="Lucida Bright"/>
              <w:sz w:val="22"/>
              <w:szCs w:val="22"/>
            </w:rPr>
            <w:t xml:space="preserve">. </w:t>
          </w:r>
          <w:r w:rsidR="006E3D16" w:rsidRPr="004456ED">
            <w:rPr>
              <w:rFonts w:ascii="Lucida Bright" w:hAnsi="Lucida Bright"/>
              <w:sz w:val="22"/>
              <w:szCs w:val="22"/>
            </w:rPr>
            <w:t xml:space="preserve">The draft permit will replace the current permit that </w:t>
          </w:r>
          <w:r w:rsidR="00923D5E">
            <w:rPr>
              <w:rFonts w:ascii="Lucida Bright" w:hAnsi="Lucida Bright"/>
              <w:sz w:val="22"/>
              <w:szCs w:val="22"/>
            </w:rPr>
            <w:t xml:space="preserve">will </w:t>
          </w:r>
          <w:r w:rsidR="006E3D16" w:rsidRPr="004456ED">
            <w:rPr>
              <w:rFonts w:ascii="Lucida Bright" w:hAnsi="Lucida Bright"/>
              <w:sz w:val="22"/>
              <w:szCs w:val="22"/>
            </w:rPr>
            <w:t>expire on July 20, 2019.</w:t>
          </w:r>
        </w:p>
      </w:sdtContent>
    </w:sdt>
    <w:sdt>
      <w:sdtPr>
        <w:rPr>
          <w:sz w:val="22"/>
          <w:szCs w:val="22"/>
        </w:rPr>
        <w:id w:val="1979106528"/>
        <w:lock w:val="sdtContentLocked"/>
        <w:placeholder>
          <w:docPart w:val="DefaultPlaceholder_-1854013440"/>
        </w:placeholder>
        <w:group/>
      </w:sdtPr>
      <w:sdtEndPr/>
      <w:sdtContent>
        <w:p w14:paraId="4949DF4F" w14:textId="77777777" w:rsidR="00D8293C" w:rsidRPr="00F05F6C" w:rsidRDefault="00D8293C" w:rsidP="00D8293C">
          <w:pPr>
            <w:pStyle w:val="BodyText"/>
            <w:spacing w:after="240"/>
            <w:rPr>
              <w:sz w:val="22"/>
              <w:szCs w:val="22"/>
            </w:rPr>
          </w:pPr>
          <w:r w:rsidRPr="00F05F6C">
            <w:rPr>
              <w:sz w:val="22"/>
              <w:szCs w:val="22"/>
            </w:rPr>
            <w:t xml:space="preserve">The </w:t>
          </w:r>
          <w:r>
            <w:rPr>
              <w:sz w:val="22"/>
              <w:szCs w:val="22"/>
            </w:rPr>
            <w:t>CAFO GP</w:t>
          </w:r>
          <w:r w:rsidRPr="00F05F6C">
            <w:rPr>
              <w:sz w:val="22"/>
              <w:szCs w:val="22"/>
            </w:rPr>
            <w:t xml:space="preserve"> contains requirements related to the collection, handling, storage and beneficial use of manure, wastewater, and sludge. These requirements were established based on </w:t>
          </w:r>
          <w:r>
            <w:rPr>
              <w:sz w:val="22"/>
              <w:szCs w:val="22"/>
            </w:rPr>
            <w:t>state and federal rules</w:t>
          </w:r>
          <w:r w:rsidRPr="00F05F6C">
            <w:rPr>
              <w:sz w:val="22"/>
              <w:szCs w:val="22"/>
            </w:rPr>
            <w:t>,</w:t>
          </w:r>
          <w:r>
            <w:rPr>
              <w:sz w:val="22"/>
              <w:szCs w:val="22"/>
            </w:rPr>
            <w:t xml:space="preserve"> the</w:t>
          </w:r>
          <w:r w:rsidRPr="00F05F6C">
            <w:rPr>
              <w:sz w:val="22"/>
              <w:szCs w:val="22"/>
            </w:rPr>
            <w:t xml:space="preserve"> NRCS Field Operations Technical Guidance</w:t>
          </w:r>
          <w:r>
            <w:rPr>
              <w:sz w:val="22"/>
              <w:szCs w:val="22"/>
            </w:rPr>
            <w:t>,</w:t>
          </w:r>
          <w:r w:rsidRPr="00F05F6C">
            <w:rPr>
              <w:sz w:val="22"/>
              <w:szCs w:val="22"/>
            </w:rPr>
            <w:t xml:space="preserve"> and the Animal Waste Management Field Handbook.</w:t>
          </w:r>
        </w:p>
      </w:sdtContent>
    </w:sdt>
    <w:sdt>
      <w:sdtPr>
        <w:rPr>
          <w:sz w:val="22"/>
          <w:szCs w:val="22"/>
        </w:rPr>
        <w:id w:val="951065498"/>
        <w:lock w:val="sdtContentLocked"/>
        <w:placeholder>
          <w:docPart w:val="DefaultPlaceholder_-1854013440"/>
        </w:placeholder>
        <w:group/>
      </w:sdtPr>
      <w:sdtEndPr/>
      <w:sdtContent>
        <w:p w14:paraId="3208C227" w14:textId="77777777" w:rsidR="00D8293C" w:rsidRPr="00F05F6C" w:rsidRDefault="00D8293C" w:rsidP="00D8293C">
          <w:pPr>
            <w:pStyle w:val="BodyText"/>
            <w:spacing w:after="240"/>
            <w:rPr>
              <w:sz w:val="22"/>
              <w:szCs w:val="22"/>
            </w:rPr>
          </w:pPr>
          <w:r w:rsidRPr="00F05F6C">
            <w:rPr>
              <w:sz w:val="22"/>
              <w:szCs w:val="22"/>
            </w:rPr>
            <w:t>Land application of manure, sludge, and wastewater must be in accordance with a Nutrient Management Plan</w:t>
          </w:r>
          <w:r>
            <w:rPr>
              <w:sz w:val="22"/>
              <w:szCs w:val="22"/>
            </w:rPr>
            <w:t xml:space="preserve"> (NMP) that was </w:t>
          </w:r>
          <w:r w:rsidRPr="00F05F6C">
            <w:rPr>
              <w:sz w:val="22"/>
              <w:szCs w:val="22"/>
            </w:rPr>
            <w:t>developed by a certified nutrient management specialist, based on United States Department of Agriculture/Natural Resource Conservation Service (NRCS) Practice Standard 590</w:t>
          </w:r>
          <w:r>
            <w:rPr>
              <w:sz w:val="22"/>
              <w:szCs w:val="22"/>
            </w:rPr>
            <w:t>,</w:t>
          </w:r>
          <w:r w:rsidRPr="00F05F6C">
            <w:rPr>
              <w:sz w:val="22"/>
              <w:szCs w:val="22"/>
            </w:rPr>
            <w:t xml:space="preserve"> which provides the permittee the necessary information to properly manage the amount, form, placement and timing for the application of nutrients to the L</w:t>
          </w:r>
          <w:r>
            <w:rPr>
              <w:sz w:val="22"/>
              <w:szCs w:val="22"/>
            </w:rPr>
            <w:t xml:space="preserve">and </w:t>
          </w:r>
          <w:r w:rsidRPr="00F05F6C">
            <w:rPr>
              <w:sz w:val="22"/>
              <w:szCs w:val="22"/>
            </w:rPr>
            <w:t>M</w:t>
          </w:r>
          <w:r>
            <w:rPr>
              <w:sz w:val="22"/>
              <w:szCs w:val="22"/>
            </w:rPr>
            <w:t xml:space="preserve">anagement </w:t>
          </w:r>
          <w:r w:rsidRPr="00F05F6C">
            <w:rPr>
              <w:sz w:val="22"/>
              <w:szCs w:val="22"/>
            </w:rPr>
            <w:t>U</w:t>
          </w:r>
          <w:r>
            <w:rPr>
              <w:sz w:val="22"/>
              <w:szCs w:val="22"/>
            </w:rPr>
            <w:t>nits (LMU</w:t>
          </w:r>
          <w:r w:rsidRPr="00F05F6C">
            <w:rPr>
              <w:sz w:val="22"/>
              <w:szCs w:val="22"/>
            </w:rPr>
            <w:t>s</w:t>
          </w:r>
          <w:r>
            <w:rPr>
              <w:sz w:val="22"/>
              <w:szCs w:val="22"/>
            </w:rPr>
            <w:t>)</w:t>
          </w:r>
          <w:r w:rsidRPr="00F05F6C">
            <w:rPr>
              <w:sz w:val="22"/>
              <w:szCs w:val="22"/>
            </w:rPr>
            <w:t>. Vegetative buffer strips shall be maintained in accordance with NRCS Practice Standard Code 393. The minimum buffer shall be no less than 100 feet of vegetation to be maintained between land application areas and all surface water in the state.</w:t>
          </w:r>
        </w:p>
      </w:sdtContent>
    </w:sdt>
    <w:sdt>
      <w:sdtPr>
        <w:rPr>
          <w:sz w:val="22"/>
          <w:szCs w:val="22"/>
        </w:rPr>
        <w:id w:val="632136504"/>
        <w:lock w:val="sdtContentLocked"/>
        <w:placeholder>
          <w:docPart w:val="DefaultPlaceholder_-1854013440"/>
        </w:placeholder>
        <w:group/>
      </w:sdtPr>
      <w:sdtEndPr/>
      <w:sdtContent>
        <w:p w14:paraId="150D0D97" w14:textId="77777777" w:rsidR="00D8293C" w:rsidRPr="00F05F6C" w:rsidRDefault="00D8293C" w:rsidP="00D8293C">
          <w:pPr>
            <w:pStyle w:val="BodyText"/>
            <w:spacing w:before="120"/>
            <w:rPr>
              <w:sz w:val="22"/>
              <w:szCs w:val="22"/>
            </w:rPr>
          </w:pPr>
          <w:r w:rsidRPr="00F05F6C">
            <w:rPr>
              <w:sz w:val="22"/>
              <w:szCs w:val="22"/>
            </w:rPr>
            <w:t>Discharge of wastewater from irrigation is prohibited, except a discharge resulting from irrigation events associated with imminent overflow conditions.  Precipitation-related runoff from land application areas is allowed by the permit, when land application practices are consistent with a nutrient management plan or nutrient utilization plan.</w:t>
          </w:r>
        </w:p>
        <w:p w14:paraId="30CF0EE8" w14:textId="77777777" w:rsidR="009A2845" w:rsidRDefault="00D8293C" w:rsidP="00D8293C">
          <w:pPr>
            <w:pStyle w:val="BodyText"/>
            <w:spacing w:before="120"/>
            <w:rPr>
              <w:sz w:val="22"/>
              <w:szCs w:val="22"/>
            </w:rPr>
          </w:pPr>
          <w:r w:rsidRPr="00F05F6C">
            <w:rPr>
              <w:sz w:val="22"/>
              <w:szCs w:val="22"/>
            </w:rPr>
            <w:t xml:space="preserve">The </w:t>
          </w:r>
          <w:r>
            <w:rPr>
              <w:sz w:val="22"/>
              <w:szCs w:val="22"/>
            </w:rPr>
            <w:t>CAFO GP</w:t>
          </w:r>
          <w:r w:rsidRPr="00F05F6C">
            <w:rPr>
              <w:sz w:val="22"/>
              <w:szCs w:val="22"/>
            </w:rPr>
            <w:t xml:space="preserve"> contains additional requirements or prohibition of coverage under the general permit for CAFOs located in an impaired segment listed on the current EPA</w:t>
          </w:r>
          <w:r>
            <w:rPr>
              <w:sz w:val="22"/>
              <w:szCs w:val="22"/>
            </w:rPr>
            <w:t>-</w:t>
          </w:r>
          <w:r w:rsidRPr="00F05F6C">
            <w:rPr>
              <w:sz w:val="22"/>
              <w:szCs w:val="22"/>
            </w:rPr>
            <w:t xml:space="preserve"> approved 303(d) list of impaired waters. The following CAFOs are not eligible for coverage under th</w:t>
          </w:r>
          <w:r w:rsidR="005F04B1">
            <w:rPr>
              <w:sz w:val="22"/>
              <w:szCs w:val="22"/>
            </w:rPr>
            <w:t>e CAFO</w:t>
          </w:r>
          <w:r w:rsidRPr="00F05F6C">
            <w:rPr>
              <w:sz w:val="22"/>
              <w:szCs w:val="22"/>
            </w:rPr>
            <w:t xml:space="preserve"> </w:t>
          </w:r>
          <w:r>
            <w:rPr>
              <w:sz w:val="22"/>
              <w:szCs w:val="22"/>
            </w:rPr>
            <w:t>GP</w:t>
          </w:r>
          <w:r w:rsidRPr="00F05F6C">
            <w:rPr>
              <w:sz w:val="22"/>
              <w:szCs w:val="22"/>
            </w:rPr>
            <w:t>:</w:t>
          </w:r>
        </w:p>
      </w:sdtContent>
    </w:sdt>
    <w:sdt>
      <w:sdtPr>
        <w:rPr>
          <w:sz w:val="22"/>
          <w:szCs w:val="22"/>
        </w:rPr>
        <w:id w:val="117265358"/>
        <w:lock w:val="sdtContentLocked"/>
        <w:placeholder>
          <w:docPart w:val="DefaultPlaceholder_-1854013440"/>
        </w:placeholder>
        <w:group/>
      </w:sdtPr>
      <w:sdtEndPr/>
      <w:sdtContent>
        <w:p w14:paraId="127BA4D7" w14:textId="77777777" w:rsidR="009A2845" w:rsidRDefault="00D8293C" w:rsidP="00D8293C">
          <w:pPr>
            <w:pStyle w:val="BodyText"/>
            <w:spacing w:before="120"/>
            <w:rPr>
              <w:sz w:val="22"/>
              <w:szCs w:val="22"/>
            </w:rPr>
          </w:pPr>
          <w:r w:rsidRPr="00F05F6C">
            <w:rPr>
              <w:sz w:val="22"/>
              <w:szCs w:val="22"/>
            </w:rPr>
            <w:t xml:space="preserve">(1) </w:t>
          </w:r>
          <w:r>
            <w:rPr>
              <w:sz w:val="22"/>
              <w:szCs w:val="22"/>
            </w:rPr>
            <w:t>a</w:t>
          </w:r>
          <w:r w:rsidRPr="00F05F6C">
            <w:rPr>
              <w:sz w:val="22"/>
              <w:szCs w:val="22"/>
            </w:rPr>
            <w:t xml:space="preserve"> dairy CAFO located in a major sole source impairment zone; and</w:t>
          </w:r>
        </w:p>
        <w:p w14:paraId="2C6F7551" w14:textId="77777777" w:rsidR="00D8293C" w:rsidRPr="00F05F6C" w:rsidRDefault="00D8293C" w:rsidP="00D8293C">
          <w:pPr>
            <w:pStyle w:val="BodyText"/>
            <w:spacing w:before="120"/>
            <w:rPr>
              <w:sz w:val="22"/>
              <w:szCs w:val="22"/>
            </w:rPr>
          </w:pPr>
          <w:r w:rsidRPr="00F05F6C">
            <w:rPr>
              <w:sz w:val="22"/>
              <w:szCs w:val="22"/>
            </w:rPr>
            <w:t xml:space="preserve">(2) </w:t>
          </w:r>
          <w:r>
            <w:rPr>
              <w:sz w:val="22"/>
              <w:szCs w:val="22"/>
            </w:rPr>
            <w:t>a</w:t>
          </w:r>
          <w:r w:rsidRPr="00F05F6C">
            <w:rPr>
              <w:sz w:val="22"/>
              <w:szCs w:val="22"/>
            </w:rPr>
            <w:t xml:space="preserve">ny CAFO where any part of the production area or </w:t>
          </w:r>
          <w:r>
            <w:rPr>
              <w:sz w:val="22"/>
              <w:szCs w:val="22"/>
            </w:rPr>
            <w:t>LMU</w:t>
          </w:r>
          <w:r w:rsidRPr="00F05F6C">
            <w:rPr>
              <w:sz w:val="22"/>
              <w:szCs w:val="22"/>
            </w:rPr>
            <w:t xml:space="preserve"> is located in a 303(d) listed segment where a T</w:t>
          </w:r>
          <w:r>
            <w:rPr>
              <w:sz w:val="22"/>
              <w:szCs w:val="22"/>
            </w:rPr>
            <w:t xml:space="preserve">otal </w:t>
          </w:r>
          <w:r w:rsidRPr="00F05F6C">
            <w:rPr>
              <w:sz w:val="22"/>
              <w:szCs w:val="22"/>
            </w:rPr>
            <w:t>M</w:t>
          </w:r>
          <w:r>
            <w:rPr>
              <w:sz w:val="22"/>
              <w:szCs w:val="22"/>
            </w:rPr>
            <w:t xml:space="preserve">aximum </w:t>
          </w:r>
          <w:r w:rsidRPr="00F05F6C">
            <w:rPr>
              <w:sz w:val="22"/>
              <w:szCs w:val="22"/>
            </w:rPr>
            <w:t>D</w:t>
          </w:r>
          <w:r>
            <w:rPr>
              <w:sz w:val="22"/>
              <w:szCs w:val="22"/>
            </w:rPr>
            <w:t xml:space="preserve">aily </w:t>
          </w:r>
          <w:r w:rsidRPr="00F05F6C">
            <w:rPr>
              <w:sz w:val="22"/>
              <w:szCs w:val="22"/>
            </w:rPr>
            <w:t>L</w:t>
          </w:r>
          <w:r>
            <w:rPr>
              <w:sz w:val="22"/>
              <w:szCs w:val="22"/>
            </w:rPr>
            <w:t>oad (TMDL)</w:t>
          </w:r>
          <w:r w:rsidRPr="00F05F6C">
            <w:rPr>
              <w:sz w:val="22"/>
              <w:szCs w:val="22"/>
            </w:rPr>
            <w:t xml:space="preserve"> implementation plan has been adopted by the Commission that establishes additional water quality protection measures for CAFOs which are not required by th</w:t>
          </w:r>
          <w:r w:rsidR="00D42C07">
            <w:rPr>
              <w:sz w:val="22"/>
              <w:szCs w:val="22"/>
            </w:rPr>
            <w:t>e CAFO</w:t>
          </w:r>
          <w:r w:rsidRPr="00F05F6C">
            <w:rPr>
              <w:sz w:val="22"/>
              <w:szCs w:val="22"/>
            </w:rPr>
            <w:t xml:space="preserve"> </w:t>
          </w:r>
          <w:r>
            <w:rPr>
              <w:sz w:val="22"/>
              <w:szCs w:val="22"/>
            </w:rPr>
            <w:t>GP</w:t>
          </w:r>
          <w:r w:rsidRPr="00F05F6C">
            <w:rPr>
              <w:sz w:val="22"/>
              <w:szCs w:val="22"/>
            </w:rPr>
            <w:t>.</w:t>
          </w:r>
        </w:p>
        <w:p w14:paraId="4AF47A85" w14:textId="77777777" w:rsidR="009A2845" w:rsidRDefault="00D8293C" w:rsidP="00D8293C">
          <w:pPr>
            <w:pStyle w:val="BodyText"/>
            <w:spacing w:before="120"/>
            <w:rPr>
              <w:sz w:val="22"/>
              <w:szCs w:val="22"/>
            </w:rPr>
          </w:pPr>
          <w:r w:rsidRPr="00F05F6C">
            <w:rPr>
              <w:sz w:val="22"/>
              <w:szCs w:val="22"/>
            </w:rPr>
            <w:t xml:space="preserve">CAFOs </w:t>
          </w:r>
          <w:r>
            <w:rPr>
              <w:sz w:val="22"/>
              <w:szCs w:val="22"/>
            </w:rPr>
            <w:t xml:space="preserve">that are </w:t>
          </w:r>
          <w:r w:rsidRPr="00F05F6C">
            <w:rPr>
              <w:sz w:val="22"/>
              <w:szCs w:val="22"/>
            </w:rPr>
            <w:t>located in a segment impaired for bacteria, nutrients, and/or pathogens</w:t>
          </w:r>
          <w:r w:rsidR="00D42C07">
            <w:rPr>
              <w:sz w:val="22"/>
              <w:szCs w:val="22"/>
            </w:rPr>
            <w:t>,</w:t>
          </w:r>
          <w:r w:rsidRPr="00F05F6C">
            <w:rPr>
              <w:sz w:val="22"/>
              <w:szCs w:val="22"/>
            </w:rPr>
            <w:t xml:space="preserve"> must adhere to the following requirements:</w:t>
          </w:r>
        </w:p>
        <w:p w14:paraId="200D0ED8" w14:textId="77777777" w:rsidR="009A2845" w:rsidRDefault="00D8293C" w:rsidP="00D8293C">
          <w:pPr>
            <w:pStyle w:val="BodyText"/>
            <w:spacing w:before="120"/>
            <w:rPr>
              <w:sz w:val="22"/>
              <w:szCs w:val="22"/>
            </w:rPr>
          </w:pPr>
          <w:r w:rsidRPr="00F05F6C">
            <w:rPr>
              <w:sz w:val="22"/>
              <w:szCs w:val="22"/>
            </w:rPr>
            <w:t xml:space="preserve">(1) </w:t>
          </w:r>
          <w:r w:rsidR="00D42C07">
            <w:rPr>
              <w:sz w:val="22"/>
              <w:szCs w:val="22"/>
            </w:rPr>
            <w:t>l</w:t>
          </w:r>
          <w:r w:rsidRPr="00F05F6C">
            <w:rPr>
              <w:sz w:val="22"/>
              <w:szCs w:val="22"/>
            </w:rPr>
            <w:t xml:space="preserve">and application must be consistent with a NMP certified in accordance with NRCS Practice Standard Code 590 using the phosphorus index rating for impaired waters. </w:t>
          </w:r>
        </w:p>
        <w:p w14:paraId="2FFF35BC" w14:textId="77777777" w:rsidR="00D8293C" w:rsidRDefault="00D8293C" w:rsidP="00D8293C">
          <w:pPr>
            <w:pStyle w:val="BodyText"/>
            <w:spacing w:before="120"/>
            <w:rPr>
              <w:sz w:val="22"/>
              <w:szCs w:val="22"/>
            </w:rPr>
          </w:pPr>
          <w:r w:rsidRPr="00F05F6C">
            <w:rPr>
              <w:sz w:val="22"/>
              <w:szCs w:val="22"/>
            </w:rPr>
            <w:t xml:space="preserve">(2) The permittee </w:t>
          </w:r>
          <w:r w:rsidR="00D42C07">
            <w:rPr>
              <w:sz w:val="22"/>
              <w:szCs w:val="22"/>
            </w:rPr>
            <w:t xml:space="preserve">must </w:t>
          </w:r>
          <w:r w:rsidRPr="00F05F6C">
            <w:rPr>
              <w:sz w:val="22"/>
              <w:szCs w:val="22"/>
            </w:rPr>
            <w:t>install and maintain one of the following between the land application area and the main stem of the impaired segment: a 200-foot vegetative buffer; or a 100-foot vegetative buffer and a filter strip or vegetative barrier, according to NRCS Practice Standard Codes 393 or 601.</w:t>
          </w:r>
        </w:p>
      </w:sdtContent>
    </w:sdt>
    <w:sdt>
      <w:sdtPr>
        <w:rPr>
          <w:b/>
          <w:caps/>
          <w:sz w:val="22"/>
          <w:szCs w:val="22"/>
          <w:u w:val="single"/>
        </w:rPr>
        <w:id w:val="1808208988"/>
        <w:lock w:val="sdtContentLocked"/>
        <w:placeholder>
          <w:docPart w:val="DefaultPlaceholder_-1854013440"/>
        </w:placeholder>
        <w:group/>
      </w:sdtPr>
      <w:sdtEndPr/>
      <w:sdtContent>
        <w:p w14:paraId="6CBD28CA" w14:textId="77777777" w:rsidR="006E3D16" w:rsidRPr="00D42C07" w:rsidRDefault="006E3D16" w:rsidP="00D42C07">
          <w:pPr>
            <w:pStyle w:val="BodyText"/>
            <w:jc w:val="center"/>
            <w:rPr>
              <w:b/>
              <w:caps/>
              <w:sz w:val="22"/>
              <w:szCs w:val="22"/>
              <w:u w:val="single"/>
            </w:rPr>
          </w:pPr>
          <w:r w:rsidRPr="00267D58">
            <w:rPr>
              <w:rStyle w:val="Heading2Char"/>
              <w:rFonts w:ascii="Lucida Bright" w:hAnsi="Lucida Bright"/>
              <w:sz w:val="22"/>
              <w:szCs w:val="22"/>
            </w:rPr>
            <w:t>Procedural Background</w:t>
          </w:r>
        </w:p>
      </w:sdtContent>
    </w:sdt>
    <w:sdt>
      <w:sdtPr>
        <w:rPr>
          <w:sz w:val="22"/>
          <w:szCs w:val="22"/>
        </w:rPr>
        <w:id w:val="1736513904"/>
        <w:lock w:val="sdtContentLocked"/>
        <w:placeholder>
          <w:docPart w:val="DefaultPlaceholder_-1854013440"/>
        </w:placeholder>
        <w:group/>
      </w:sdtPr>
      <w:sdtEndPr/>
      <w:sdtContent>
        <w:p w14:paraId="2FD2AFC4" w14:textId="77777777" w:rsidR="00433289" w:rsidRPr="004456ED" w:rsidRDefault="006E3D16" w:rsidP="00C0591A">
          <w:pPr>
            <w:pStyle w:val="BodyText"/>
            <w:spacing w:before="120" w:after="240"/>
            <w:rPr>
              <w:sz w:val="22"/>
              <w:szCs w:val="22"/>
            </w:rPr>
          </w:pPr>
          <w:r w:rsidRPr="004456ED">
            <w:rPr>
              <w:sz w:val="22"/>
              <w:szCs w:val="22"/>
            </w:rPr>
            <w:t xml:space="preserve">TCEQ published notice of the draft CAFO GP to solicit public comment in the </w:t>
          </w:r>
          <w:r w:rsidRPr="004456ED">
            <w:rPr>
              <w:i/>
              <w:sz w:val="22"/>
              <w:szCs w:val="22"/>
            </w:rPr>
            <w:t xml:space="preserve">Amarillo Globe-News, </w:t>
          </w:r>
          <w:r w:rsidR="00411D09" w:rsidRPr="004456ED">
            <w:rPr>
              <w:i/>
              <w:sz w:val="22"/>
              <w:szCs w:val="22"/>
            </w:rPr>
            <w:t xml:space="preserve">Dallas Morning News, </w:t>
          </w:r>
          <w:r w:rsidR="000C6038" w:rsidRPr="004456ED">
            <w:rPr>
              <w:i/>
              <w:sz w:val="22"/>
              <w:szCs w:val="22"/>
            </w:rPr>
            <w:t xml:space="preserve">Lubbock Avalanche Journal </w:t>
          </w:r>
          <w:r w:rsidRPr="004456ED">
            <w:rPr>
              <w:sz w:val="22"/>
              <w:szCs w:val="22"/>
            </w:rPr>
            <w:t xml:space="preserve">and the </w:t>
          </w:r>
          <w:r w:rsidRPr="004456ED">
            <w:rPr>
              <w:i/>
              <w:sz w:val="22"/>
              <w:szCs w:val="22"/>
            </w:rPr>
            <w:t>Texas Register</w:t>
          </w:r>
          <w:r w:rsidRPr="004456ED">
            <w:rPr>
              <w:sz w:val="22"/>
              <w:szCs w:val="22"/>
            </w:rPr>
            <w:t xml:space="preserve"> on </w:t>
          </w:r>
          <w:r w:rsidR="00433289" w:rsidRPr="004456ED">
            <w:rPr>
              <w:sz w:val="22"/>
              <w:szCs w:val="22"/>
            </w:rPr>
            <w:t>February 22, 2019</w:t>
          </w:r>
          <w:r w:rsidR="000E4972" w:rsidRPr="004456ED">
            <w:rPr>
              <w:sz w:val="22"/>
              <w:szCs w:val="22"/>
            </w:rPr>
            <w:t xml:space="preserve">, and </w:t>
          </w:r>
          <w:r w:rsidRPr="004456ED">
            <w:rPr>
              <w:sz w:val="22"/>
              <w:szCs w:val="22"/>
            </w:rPr>
            <w:t xml:space="preserve">in the </w:t>
          </w:r>
          <w:r w:rsidR="00433289" w:rsidRPr="004456ED">
            <w:rPr>
              <w:i/>
              <w:sz w:val="22"/>
              <w:szCs w:val="22"/>
            </w:rPr>
            <w:t xml:space="preserve">Stephenville Empire Tribune </w:t>
          </w:r>
          <w:r w:rsidR="00433289" w:rsidRPr="004456ED">
            <w:rPr>
              <w:sz w:val="22"/>
              <w:szCs w:val="22"/>
            </w:rPr>
            <w:t xml:space="preserve">and </w:t>
          </w:r>
          <w:r w:rsidR="00433289" w:rsidRPr="004456ED">
            <w:rPr>
              <w:i/>
              <w:sz w:val="22"/>
              <w:szCs w:val="22"/>
            </w:rPr>
            <w:t>Sulphur Springs News</w:t>
          </w:r>
          <w:r w:rsidR="00831FA7" w:rsidRPr="004456ED">
            <w:rPr>
              <w:i/>
              <w:sz w:val="22"/>
              <w:szCs w:val="22"/>
            </w:rPr>
            <w:t xml:space="preserve"> - Telegram</w:t>
          </w:r>
          <w:r w:rsidRPr="004456ED">
            <w:rPr>
              <w:i/>
              <w:sz w:val="22"/>
              <w:szCs w:val="22"/>
            </w:rPr>
            <w:t xml:space="preserve"> </w:t>
          </w:r>
          <w:r w:rsidRPr="004456ED">
            <w:rPr>
              <w:sz w:val="22"/>
              <w:szCs w:val="22"/>
            </w:rPr>
            <w:t xml:space="preserve">on </w:t>
          </w:r>
          <w:r w:rsidR="00433289" w:rsidRPr="004456ED">
            <w:rPr>
              <w:sz w:val="22"/>
              <w:szCs w:val="22"/>
            </w:rPr>
            <w:t>February 23, 2019</w:t>
          </w:r>
          <w:r w:rsidRPr="004456ED">
            <w:rPr>
              <w:i/>
              <w:sz w:val="22"/>
              <w:szCs w:val="22"/>
            </w:rPr>
            <w:t xml:space="preserve">. </w:t>
          </w:r>
          <w:r w:rsidRPr="004456ED">
            <w:rPr>
              <w:sz w:val="22"/>
              <w:szCs w:val="22"/>
            </w:rPr>
            <w:t xml:space="preserve">TCEQ conducted a public meeting on </w:t>
          </w:r>
          <w:r w:rsidR="00433289" w:rsidRPr="004456ED">
            <w:rPr>
              <w:sz w:val="22"/>
              <w:szCs w:val="22"/>
            </w:rPr>
            <w:t>March 25, 2019</w:t>
          </w:r>
          <w:r w:rsidRPr="004456ED">
            <w:rPr>
              <w:sz w:val="22"/>
              <w:szCs w:val="22"/>
            </w:rPr>
            <w:t xml:space="preserve"> to take oral and written testimonies. The public comment period ended on </w:t>
          </w:r>
          <w:r w:rsidR="00433289" w:rsidRPr="004456ED">
            <w:rPr>
              <w:sz w:val="22"/>
              <w:szCs w:val="22"/>
            </w:rPr>
            <w:t>March 25, 2019</w:t>
          </w:r>
          <w:r w:rsidRPr="004456ED">
            <w:rPr>
              <w:sz w:val="22"/>
              <w:szCs w:val="22"/>
            </w:rPr>
            <w:t>. TCEQ also took public comment via electronic-comment.</w:t>
          </w:r>
        </w:p>
      </w:sdtContent>
    </w:sdt>
    <w:sdt>
      <w:sdtPr>
        <w:rPr>
          <w:b/>
          <w:sz w:val="22"/>
          <w:szCs w:val="22"/>
          <w:u w:val="single"/>
        </w:rPr>
        <w:id w:val="967162002"/>
        <w:lock w:val="sdtContentLocked"/>
        <w:placeholder>
          <w:docPart w:val="DefaultPlaceholder_-1854013440"/>
        </w:placeholder>
        <w:group/>
      </w:sdtPr>
      <w:sdtEndPr/>
      <w:sdtContent>
        <w:p w14:paraId="40ADB8B6" w14:textId="77777777" w:rsidR="006E3D16" w:rsidRPr="00D42C07" w:rsidRDefault="006E3D16" w:rsidP="00D42C07">
          <w:pPr>
            <w:pStyle w:val="BodyText"/>
            <w:spacing w:before="240"/>
            <w:jc w:val="center"/>
            <w:rPr>
              <w:b/>
              <w:sz w:val="22"/>
              <w:szCs w:val="22"/>
              <w:u w:val="single"/>
            </w:rPr>
          </w:pPr>
          <w:r w:rsidRPr="00267D58">
            <w:rPr>
              <w:rStyle w:val="Heading2Char"/>
              <w:rFonts w:ascii="Lucida Bright" w:hAnsi="Lucida Bright"/>
              <w:sz w:val="22"/>
              <w:szCs w:val="22"/>
            </w:rPr>
            <w:t>COMMENTS and RESPONSES</w:t>
          </w:r>
        </w:p>
      </w:sdtContent>
    </w:sdt>
    <w:sdt>
      <w:sdtPr>
        <w:rPr>
          <w:b/>
          <w:sz w:val="22"/>
          <w:szCs w:val="22"/>
          <w:u w:val="single"/>
        </w:rPr>
        <w:id w:val="184723222"/>
        <w:lock w:val="sdtContentLocked"/>
        <w:placeholder>
          <w:docPart w:val="DefaultPlaceholder_-1854013440"/>
        </w:placeholder>
        <w:group/>
      </w:sdtPr>
      <w:sdtEndPr>
        <w:rPr>
          <w:rStyle w:val="BodyTextChar"/>
          <w:b w:val="0"/>
          <w:u w:val="none"/>
        </w:rPr>
      </w:sdtEndPr>
      <w:sdtContent>
        <w:p w14:paraId="6393F508" w14:textId="77777777" w:rsidR="007E28A5" w:rsidRPr="00D42C07" w:rsidRDefault="00D42C07" w:rsidP="00C0591A">
          <w:pPr>
            <w:pStyle w:val="BodyText"/>
            <w:spacing w:before="120"/>
            <w:rPr>
              <w:b/>
              <w:sz w:val="22"/>
              <w:szCs w:val="22"/>
              <w:u w:val="single"/>
            </w:rPr>
          </w:pPr>
          <w:r>
            <w:rPr>
              <w:b/>
              <w:sz w:val="22"/>
              <w:szCs w:val="22"/>
              <w:u w:val="single"/>
            </w:rPr>
            <w:t>COMMENT</w:t>
          </w:r>
          <w:r w:rsidRPr="00D42C07">
            <w:rPr>
              <w:b/>
              <w:sz w:val="22"/>
              <w:szCs w:val="22"/>
              <w:u w:val="single"/>
            </w:rPr>
            <w:t xml:space="preserve"> </w:t>
          </w:r>
          <w:r w:rsidR="007E28A5" w:rsidRPr="00D42C07">
            <w:rPr>
              <w:b/>
              <w:sz w:val="22"/>
              <w:szCs w:val="22"/>
              <w:u w:val="single"/>
            </w:rPr>
            <w:t>1</w:t>
          </w:r>
        </w:p>
        <w:p w14:paraId="3E2C28B8" w14:textId="77777777" w:rsidR="000B3E08" w:rsidRDefault="00332F30" w:rsidP="001E12CD">
          <w:pPr>
            <w:pStyle w:val="BodyText"/>
            <w:spacing w:before="120"/>
            <w:rPr>
              <w:rStyle w:val="BodyTextChar"/>
              <w:sz w:val="22"/>
              <w:szCs w:val="22"/>
            </w:rPr>
          </w:pPr>
          <w:r>
            <w:rPr>
              <w:rStyle w:val="BodyTextChar"/>
              <w:sz w:val="22"/>
              <w:szCs w:val="22"/>
            </w:rPr>
            <w:t>Mr.</w:t>
          </w:r>
          <w:r w:rsidR="00B975B5" w:rsidRPr="004456ED">
            <w:rPr>
              <w:rStyle w:val="BodyTextChar"/>
              <w:sz w:val="22"/>
              <w:szCs w:val="22"/>
            </w:rPr>
            <w:t xml:space="preserve"> Tomlinson</w:t>
          </w:r>
          <w:r w:rsidR="000B3E08">
            <w:rPr>
              <w:rStyle w:val="BodyTextChar"/>
              <w:sz w:val="22"/>
              <w:szCs w:val="22"/>
            </w:rPr>
            <w:t xml:space="preserve"> comment</w:t>
          </w:r>
          <w:r w:rsidR="00430D84">
            <w:rPr>
              <w:rStyle w:val="BodyTextChar"/>
              <w:sz w:val="22"/>
              <w:szCs w:val="22"/>
            </w:rPr>
            <w:t>ed</w:t>
          </w:r>
          <w:r w:rsidR="000B3E08">
            <w:rPr>
              <w:rStyle w:val="BodyTextChar"/>
              <w:sz w:val="22"/>
              <w:szCs w:val="22"/>
            </w:rPr>
            <w:t xml:space="preserve"> that </w:t>
          </w:r>
          <w:r w:rsidR="00B975B5" w:rsidRPr="004456ED">
            <w:rPr>
              <w:rStyle w:val="BodyTextChar"/>
              <w:sz w:val="22"/>
              <w:szCs w:val="22"/>
            </w:rPr>
            <w:t xml:space="preserve">the TCEQ </w:t>
          </w:r>
          <w:r w:rsidR="009F3AE3">
            <w:rPr>
              <w:rStyle w:val="BodyTextChar"/>
              <w:sz w:val="22"/>
              <w:szCs w:val="22"/>
            </w:rPr>
            <w:t xml:space="preserve">should </w:t>
          </w:r>
          <w:r w:rsidR="009F3AE3" w:rsidRPr="004456ED">
            <w:rPr>
              <w:rStyle w:val="BodyTextChar"/>
              <w:sz w:val="22"/>
              <w:szCs w:val="22"/>
            </w:rPr>
            <w:t>review</w:t>
          </w:r>
          <w:r w:rsidR="00B975B5" w:rsidRPr="004456ED">
            <w:rPr>
              <w:rStyle w:val="BodyTextChar"/>
              <w:sz w:val="22"/>
              <w:szCs w:val="22"/>
            </w:rPr>
            <w:t xml:space="preserve"> </w:t>
          </w:r>
          <w:r w:rsidR="000B3E08">
            <w:rPr>
              <w:rStyle w:val="BodyTextChar"/>
              <w:sz w:val="22"/>
              <w:szCs w:val="22"/>
            </w:rPr>
            <w:t>applications for CAFO</w:t>
          </w:r>
          <w:r w:rsidR="00430D84">
            <w:rPr>
              <w:rStyle w:val="BodyTextChar"/>
              <w:sz w:val="22"/>
              <w:szCs w:val="22"/>
            </w:rPr>
            <w:t>s</w:t>
          </w:r>
          <w:r w:rsidR="00B975B5" w:rsidRPr="004456ED">
            <w:rPr>
              <w:rStyle w:val="BodyTextChar"/>
              <w:sz w:val="22"/>
              <w:szCs w:val="22"/>
            </w:rPr>
            <w:t xml:space="preserve"> </w:t>
          </w:r>
          <w:r w:rsidR="005E2900">
            <w:rPr>
              <w:rStyle w:val="BodyTextChar"/>
              <w:sz w:val="22"/>
              <w:szCs w:val="22"/>
            </w:rPr>
            <w:t>cumulatively or</w:t>
          </w:r>
          <w:r w:rsidR="00430D84">
            <w:rPr>
              <w:rStyle w:val="BodyTextChar"/>
              <w:sz w:val="22"/>
              <w:szCs w:val="22"/>
            </w:rPr>
            <w:t xml:space="preserve"> </w:t>
          </w:r>
          <w:r w:rsidR="00B975B5" w:rsidRPr="004456ED">
            <w:rPr>
              <w:rStyle w:val="BodyTextChar"/>
              <w:sz w:val="22"/>
              <w:szCs w:val="22"/>
            </w:rPr>
            <w:t>based on other dairies in the area affecting the environment and other issues, water issues affecting the neighbors (</w:t>
          </w:r>
          <w:r w:rsidR="00401A25">
            <w:rPr>
              <w:rStyle w:val="BodyTextChar"/>
              <w:sz w:val="22"/>
              <w:szCs w:val="22"/>
            </w:rPr>
            <w:t>draw down of wells</w:t>
          </w:r>
          <w:r w:rsidR="00B975B5" w:rsidRPr="004456ED">
            <w:rPr>
              <w:rStyle w:val="BodyTextChar"/>
              <w:sz w:val="22"/>
              <w:szCs w:val="22"/>
            </w:rPr>
            <w:t xml:space="preserve">), road safety issues, among others. </w:t>
          </w:r>
          <w:r w:rsidR="000B3E08">
            <w:rPr>
              <w:rStyle w:val="BodyTextChar"/>
              <w:sz w:val="22"/>
              <w:szCs w:val="22"/>
            </w:rPr>
            <w:t xml:space="preserve">According to him, </w:t>
          </w:r>
          <w:r w:rsidR="00B975B5" w:rsidRPr="004456ED">
            <w:rPr>
              <w:rStyle w:val="BodyTextChar"/>
              <w:sz w:val="22"/>
              <w:szCs w:val="22"/>
            </w:rPr>
            <w:t>the dairy owners buy</w:t>
          </w:r>
          <w:r w:rsidR="000B3E08">
            <w:rPr>
              <w:rStyle w:val="BodyTextChar"/>
              <w:sz w:val="22"/>
              <w:szCs w:val="22"/>
            </w:rPr>
            <w:t xml:space="preserve"> </w:t>
          </w:r>
          <w:r w:rsidR="00B975B5" w:rsidRPr="004456ED">
            <w:rPr>
              <w:rStyle w:val="BodyTextChar"/>
              <w:sz w:val="22"/>
              <w:szCs w:val="22"/>
            </w:rPr>
            <w:t xml:space="preserve">land in another </w:t>
          </w:r>
          <w:r w:rsidR="000B3E08" w:rsidRPr="004456ED">
            <w:rPr>
              <w:rStyle w:val="BodyTextChar"/>
              <w:sz w:val="22"/>
              <w:szCs w:val="22"/>
            </w:rPr>
            <w:t>name,</w:t>
          </w:r>
          <w:r w:rsidR="00B975B5" w:rsidRPr="004456ED">
            <w:rPr>
              <w:rStyle w:val="BodyTextChar"/>
              <w:sz w:val="22"/>
              <w:szCs w:val="22"/>
            </w:rPr>
            <w:t xml:space="preserve"> so they can dump sludge and wastes off site</w:t>
          </w:r>
          <w:r w:rsidR="000B3E08">
            <w:rPr>
              <w:rStyle w:val="BodyTextChar"/>
              <w:sz w:val="22"/>
              <w:szCs w:val="22"/>
            </w:rPr>
            <w:t xml:space="preserve"> which are not regulated</w:t>
          </w:r>
          <w:r w:rsidR="00B975B5" w:rsidRPr="004456ED">
            <w:rPr>
              <w:rStyle w:val="BodyTextChar"/>
              <w:sz w:val="22"/>
              <w:szCs w:val="22"/>
            </w:rPr>
            <w:t>. This allows runoff and over</w:t>
          </w:r>
          <w:r w:rsidR="002E0E85">
            <w:rPr>
              <w:rStyle w:val="BodyTextChar"/>
              <w:sz w:val="22"/>
              <w:szCs w:val="22"/>
            </w:rPr>
            <w:t>-</w:t>
          </w:r>
          <w:r w:rsidR="00B975B5" w:rsidRPr="004456ED">
            <w:rPr>
              <w:rStyle w:val="BodyTextChar"/>
              <w:sz w:val="22"/>
              <w:szCs w:val="22"/>
            </w:rPr>
            <w:t xml:space="preserve">application </w:t>
          </w:r>
          <w:r w:rsidR="000B3E08">
            <w:rPr>
              <w:rStyle w:val="BodyTextChar"/>
              <w:sz w:val="22"/>
              <w:szCs w:val="22"/>
            </w:rPr>
            <w:t>of nutrients, thereby causing water quality problem</w:t>
          </w:r>
          <w:r w:rsidR="00401A25">
            <w:rPr>
              <w:rStyle w:val="BodyTextChar"/>
              <w:sz w:val="22"/>
              <w:szCs w:val="22"/>
            </w:rPr>
            <w:t>s</w:t>
          </w:r>
          <w:r w:rsidR="000B3E08">
            <w:rPr>
              <w:rStyle w:val="BodyTextChar"/>
              <w:sz w:val="22"/>
              <w:szCs w:val="22"/>
            </w:rPr>
            <w:t>.</w:t>
          </w:r>
        </w:p>
        <w:p w14:paraId="3F22FB80" w14:textId="77777777" w:rsidR="007E28A5" w:rsidRDefault="00430D84" w:rsidP="001E12CD">
          <w:pPr>
            <w:pStyle w:val="BodyText"/>
            <w:spacing w:before="120"/>
            <w:rPr>
              <w:rStyle w:val="BodyTextChar"/>
              <w:sz w:val="22"/>
              <w:szCs w:val="22"/>
            </w:rPr>
          </w:pPr>
          <w:r>
            <w:rPr>
              <w:rStyle w:val="BodyTextChar"/>
              <w:sz w:val="22"/>
              <w:szCs w:val="22"/>
            </w:rPr>
            <w:t xml:space="preserve">Additionally, Mr. </w:t>
          </w:r>
          <w:r w:rsidR="000B3E08">
            <w:rPr>
              <w:rStyle w:val="BodyTextChar"/>
              <w:sz w:val="22"/>
              <w:szCs w:val="22"/>
            </w:rPr>
            <w:t xml:space="preserve">Tomlinson </w:t>
          </w:r>
          <w:r w:rsidR="00246D2F">
            <w:rPr>
              <w:rStyle w:val="BodyTextChar"/>
              <w:sz w:val="22"/>
              <w:szCs w:val="22"/>
            </w:rPr>
            <w:t xml:space="preserve">requests that </w:t>
          </w:r>
          <w:r w:rsidR="00B975B5" w:rsidRPr="004456ED">
            <w:rPr>
              <w:rStyle w:val="BodyTextChar"/>
              <w:sz w:val="22"/>
              <w:szCs w:val="22"/>
            </w:rPr>
            <w:t xml:space="preserve">the state and </w:t>
          </w:r>
          <w:r>
            <w:rPr>
              <w:rStyle w:val="BodyTextChar"/>
              <w:sz w:val="22"/>
              <w:szCs w:val="22"/>
            </w:rPr>
            <w:t xml:space="preserve">the </w:t>
          </w:r>
          <w:r w:rsidR="00B975B5" w:rsidRPr="004456ED">
            <w:rPr>
              <w:rStyle w:val="BodyTextChar"/>
              <w:sz w:val="22"/>
              <w:szCs w:val="22"/>
            </w:rPr>
            <w:t xml:space="preserve">TCEQ have more power to </w:t>
          </w:r>
          <w:r w:rsidR="000B3E08">
            <w:rPr>
              <w:rStyle w:val="BodyTextChar"/>
              <w:sz w:val="22"/>
              <w:szCs w:val="22"/>
            </w:rPr>
            <w:t>be able to regulate off</w:t>
          </w:r>
          <w:r w:rsidR="002E0E85">
            <w:rPr>
              <w:rStyle w:val="BodyTextChar"/>
              <w:sz w:val="22"/>
              <w:szCs w:val="22"/>
            </w:rPr>
            <w:t>-</w:t>
          </w:r>
          <w:r w:rsidR="000B3E08">
            <w:rPr>
              <w:rStyle w:val="BodyTextChar"/>
              <w:sz w:val="22"/>
              <w:szCs w:val="22"/>
            </w:rPr>
            <w:t xml:space="preserve">site land application areas that are </w:t>
          </w:r>
          <w:r w:rsidR="00491D7A">
            <w:rPr>
              <w:rStyle w:val="BodyTextChar"/>
              <w:sz w:val="22"/>
              <w:szCs w:val="22"/>
            </w:rPr>
            <w:t xml:space="preserve">not </w:t>
          </w:r>
          <w:r w:rsidR="000B3E08">
            <w:rPr>
              <w:rStyle w:val="BodyTextChar"/>
              <w:sz w:val="22"/>
              <w:szCs w:val="22"/>
            </w:rPr>
            <w:t>included as a land management unit under the CAFO authorization.</w:t>
          </w:r>
        </w:p>
      </w:sdtContent>
    </w:sdt>
    <w:sdt>
      <w:sdtPr>
        <w:rPr>
          <w:b/>
          <w:caps/>
          <w:sz w:val="22"/>
          <w:szCs w:val="22"/>
          <w:u w:val="single"/>
        </w:rPr>
        <w:id w:val="1270663633"/>
        <w:lock w:val="sdtContentLocked"/>
        <w:placeholder>
          <w:docPart w:val="DefaultPlaceholder_-1854013440"/>
        </w:placeholder>
        <w:group/>
      </w:sdtPr>
      <w:sdtEndPr>
        <w:rPr>
          <w:b w:val="0"/>
          <w:caps w:val="0"/>
          <w:u w:val="none"/>
        </w:rPr>
      </w:sdtEndPr>
      <w:sdtContent>
        <w:p w14:paraId="3C17437A" w14:textId="77777777" w:rsidR="007E28A5" w:rsidRPr="00D42C07" w:rsidRDefault="007E28A5" w:rsidP="001E12CD">
          <w:pPr>
            <w:pStyle w:val="BodyText"/>
            <w:spacing w:before="120"/>
            <w:rPr>
              <w:b/>
              <w:sz w:val="22"/>
              <w:szCs w:val="22"/>
              <w:u w:val="single"/>
            </w:rPr>
          </w:pPr>
          <w:r w:rsidRPr="00D42C07">
            <w:rPr>
              <w:b/>
              <w:caps/>
              <w:sz w:val="22"/>
              <w:szCs w:val="22"/>
              <w:u w:val="single"/>
            </w:rPr>
            <w:t>Response</w:t>
          </w:r>
          <w:r w:rsidRPr="00D42C07">
            <w:rPr>
              <w:b/>
              <w:sz w:val="22"/>
              <w:szCs w:val="22"/>
              <w:u w:val="single"/>
            </w:rPr>
            <w:t xml:space="preserve"> 1</w:t>
          </w:r>
        </w:p>
        <w:p w14:paraId="63848153" w14:textId="77777777" w:rsidR="00246D2F" w:rsidRDefault="00A05AC4" w:rsidP="00246D2F">
          <w:pPr>
            <w:pStyle w:val="BodyText"/>
            <w:spacing w:before="120"/>
            <w:rPr>
              <w:sz w:val="22"/>
              <w:szCs w:val="22"/>
            </w:rPr>
          </w:pPr>
          <w:r>
            <w:rPr>
              <w:sz w:val="22"/>
              <w:szCs w:val="22"/>
            </w:rPr>
            <w:t>The concerns raised by Mr. Tomlinson are currently addressed by the CAFO GP provisions described below. Therefore, no changes to the CAFO GP were made in response to Mr. Tomlinson’s comments.</w:t>
          </w:r>
        </w:p>
      </w:sdtContent>
    </w:sdt>
    <w:sdt>
      <w:sdtPr>
        <w:rPr>
          <w:sz w:val="22"/>
          <w:szCs w:val="22"/>
        </w:rPr>
        <w:id w:val="-834985078"/>
        <w:lock w:val="sdtContentLocked"/>
        <w:placeholder>
          <w:docPart w:val="DefaultPlaceholder_-1854013440"/>
        </w:placeholder>
        <w:group/>
      </w:sdtPr>
      <w:sdtEndPr/>
      <w:sdtContent>
        <w:p w14:paraId="6D623D78" w14:textId="77777777" w:rsidR="000B51FB" w:rsidRPr="004456ED" w:rsidRDefault="000B51FB" w:rsidP="000B51FB">
          <w:pPr>
            <w:pStyle w:val="BodyText"/>
            <w:spacing w:before="120"/>
            <w:rPr>
              <w:sz w:val="22"/>
              <w:szCs w:val="22"/>
            </w:rPr>
          </w:pPr>
          <w:r w:rsidRPr="004456ED">
            <w:rPr>
              <w:sz w:val="22"/>
              <w:szCs w:val="22"/>
            </w:rPr>
            <w:t xml:space="preserve">According to the </w:t>
          </w:r>
          <w:r w:rsidR="005F04B1">
            <w:rPr>
              <w:sz w:val="22"/>
              <w:szCs w:val="22"/>
            </w:rPr>
            <w:t xml:space="preserve">CAFO </w:t>
          </w:r>
          <w:r w:rsidRPr="004456ED">
            <w:rPr>
              <w:sz w:val="22"/>
              <w:szCs w:val="22"/>
            </w:rPr>
            <w:t xml:space="preserve">GP, manure, sludge, and wastewater generated by a CAFO must be retained and used in an appropriate and beneficial manner. Discharges to water in the state may occur from a </w:t>
          </w:r>
          <w:r w:rsidR="002E0E85">
            <w:rPr>
              <w:sz w:val="22"/>
              <w:szCs w:val="22"/>
            </w:rPr>
            <w:t xml:space="preserve">properly </w:t>
          </w:r>
          <w:r w:rsidR="002E0E85" w:rsidRPr="004456ED">
            <w:rPr>
              <w:sz w:val="22"/>
              <w:szCs w:val="22"/>
            </w:rPr>
            <w:t xml:space="preserve">designed, constructed, operated and maintained </w:t>
          </w:r>
          <w:r w:rsidRPr="004456ED">
            <w:rPr>
              <w:sz w:val="22"/>
              <w:szCs w:val="22"/>
            </w:rPr>
            <w:t>CAFO only during chronic or catastrophic rainfall or catastrophic conditions.</w:t>
          </w:r>
        </w:p>
        <w:p w14:paraId="6CDD0925" w14:textId="77777777" w:rsidR="000B51FB" w:rsidRPr="004456ED" w:rsidRDefault="000B51FB" w:rsidP="000B51FB">
          <w:pPr>
            <w:pStyle w:val="BodyText"/>
            <w:spacing w:before="120"/>
            <w:rPr>
              <w:sz w:val="22"/>
              <w:szCs w:val="22"/>
            </w:rPr>
          </w:pPr>
          <w:r w:rsidRPr="004456ED">
            <w:rPr>
              <w:sz w:val="22"/>
              <w:szCs w:val="22"/>
            </w:rPr>
            <w:t xml:space="preserve">The </w:t>
          </w:r>
          <w:r w:rsidR="005F04B1">
            <w:rPr>
              <w:sz w:val="22"/>
              <w:szCs w:val="22"/>
            </w:rPr>
            <w:t xml:space="preserve">CAFO </w:t>
          </w:r>
          <w:r w:rsidRPr="004456ED">
            <w:rPr>
              <w:sz w:val="22"/>
              <w:szCs w:val="22"/>
            </w:rPr>
            <w:t>GP requires that permittees land apply manure</w:t>
          </w:r>
          <w:r w:rsidR="00010D77" w:rsidRPr="004456ED">
            <w:rPr>
              <w:sz w:val="22"/>
              <w:szCs w:val="22"/>
            </w:rPr>
            <w:t xml:space="preserve">, sludge and wastewater </w:t>
          </w:r>
          <w:r w:rsidRPr="004456ED">
            <w:rPr>
              <w:sz w:val="22"/>
              <w:szCs w:val="22"/>
            </w:rPr>
            <w:t xml:space="preserve">in accordance with </w:t>
          </w:r>
          <w:r w:rsidR="002E0E85">
            <w:rPr>
              <w:sz w:val="22"/>
              <w:szCs w:val="22"/>
            </w:rPr>
            <w:t>a</w:t>
          </w:r>
          <w:r w:rsidRPr="004456ED">
            <w:rPr>
              <w:sz w:val="22"/>
              <w:szCs w:val="22"/>
            </w:rPr>
            <w:t xml:space="preserve"> </w:t>
          </w:r>
          <w:r w:rsidR="00401A25">
            <w:rPr>
              <w:sz w:val="22"/>
              <w:szCs w:val="22"/>
            </w:rPr>
            <w:t>nutrient management plan (</w:t>
          </w:r>
          <w:r w:rsidRPr="004456ED">
            <w:rPr>
              <w:sz w:val="22"/>
              <w:szCs w:val="22"/>
            </w:rPr>
            <w:t>NMP</w:t>
          </w:r>
          <w:r w:rsidR="00401A25">
            <w:rPr>
              <w:sz w:val="22"/>
              <w:szCs w:val="22"/>
            </w:rPr>
            <w:t>)</w:t>
          </w:r>
          <w:r w:rsidRPr="004456ED">
            <w:rPr>
              <w:sz w:val="22"/>
              <w:szCs w:val="22"/>
            </w:rPr>
            <w:t xml:space="preserve">, which must be developed by a certified nutrient management specialist based on the United States Department of Agriculture/Natural Resource Conservation Service Nutrient Management Practice </w:t>
          </w:r>
          <w:r w:rsidRPr="004456ED">
            <w:rPr>
              <w:sz w:val="22"/>
              <w:szCs w:val="22"/>
            </w:rPr>
            <w:lastRenderedPageBreak/>
            <w:t>Standard 590. The NMP provides the permittees with the necessary information to properly manage the amount, form, placement, and timing of nutrient application to the LMUs.</w:t>
          </w:r>
        </w:p>
        <w:p w14:paraId="76B4C7A6" w14:textId="77777777" w:rsidR="00DE0F77" w:rsidRPr="004456ED" w:rsidRDefault="00D46055" w:rsidP="001E12CD">
          <w:pPr>
            <w:pStyle w:val="BodyText"/>
            <w:spacing w:before="120"/>
            <w:rPr>
              <w:sz w:val="22"/>
              <w:szCs w:val="22"/>
            </w:rPr>
          </w:pPr>
          <w:r w:rsidRPr="004456ED">
            <w:rPr>
              <w:sz w:val="22"/>
              <w:szCs w:val="22"/>
            </w:rPr>
            <w:t>In addition, t</w:t>
          </w:r>
          <w:r w:rsidR="00881144" w:rsidRPr="004456ED">
            <w:rPr>
              <w:sz w:val="22"/>
              <w:szCs w:val="22"/>
            </w:rPr>
            <w:t xml:space="preserve">he </w:t>
          </w:r>
          <w:r w:rsidR="005F04B1">
            <w:rPr>
              <w:sz w:val="22"/>
              <w:szCs w:val="22"/>
            </w:rPr>
            <w:t xml:space="preserve">CAFO </w:t>
          </w:r>
          <w:r w:rsidR="00881144" w:rsidRPr="004456ED">
            <w:rPr>
              <w:sz w:val="22"/>
              <w:szCs w:val="22"/>
            </w:rPr>
            <w:t>GP allows CAFOs to transfer manure, sludge and wastewater off</w:t>
          </w:r>
          <w:r w:rsidR="002E0E85">
            <w:rPr>
              <w:sz w:val="22"/>
              <w:szCs w:val="22"/>
            </w:rPr>
            <w:t>-</w:t>
          </w:r>
          <w:r w:rsidR="00881144" w:rsidRPr="004456ED">
            <w:rPr>
              <w:sz w:val="22"/>
              <w:szCs w:val="22"/>
            </w:rPr>
            <w:t>site for beneficial use</w:t>
          </w:r>
          <w:r w:rsidR="002E0E85">
            <w:rPr>
              <w:sz w:val="22"/>
              <w:szCs w:val="22"/>
            </w:rPr>
            <w:t xml:space="preserve">. CAFOs must </w:t>
          </w:r>
          <w:r w:rsidR="00881144" w:rsidRPr="004456ED">
            <w:rPr>
              <w:sz w:val="22"/>
              <w:szCs w:val="22"/>
            </w:rPr>
            <w:t xml:space="preserve">maintain records of such exports and include the information in the annual report that is </w:t>
          </w:r>
          <w:r w:rsidR="00B975B5" w:rsidRPr="004456ED">
            <w:rPr>
              <w:sz w:val="22"/>
              <w:szCs w:val="22"/>
            </w:rPr>
            <w:t xml:space="preserve">due to the </w:t>
          </w:r>
          <w:r w:rsidR="00881144" w:rsidRPr="004456ED">
            <w:rPr>
              <w:sz w:val="22"/>
              <w:szCs w:val="22"/>
            </w:rPr>
            <w:t xml:space="preserve">TCEQ </w:t>
          </w:r>
          <w:r w:rsidR="00B975B5" w:rsidRPr="004456ED">
            <w:rPr>
              <w:sz w:val="22"/>
              <w:szCs w:val="22"/>
            </w:rPr>
            <w:t xml:space="preserve">on March 31 of each year </w:t>
          </w:r>
          <w:r w:rsidR="00881144" w:rsidRPr="004456ED">
            <w:rPr>
              <w:sz w:val="22"/>
              <w:szCs w:val="22"/>
            </w:rPr>
            <w:t xml:space="preserve">for the reporting period. The recipients of transferred manure, sludge or wastewater are responsible for ensuring that they are used beneficially and </w:t>
          </w:r>
          <w:r w:rsidR="002E0E85">
            <w:rPr>
              <w:sz w:val="22"/>
              <w:szCs w:val="22"/>
            </w:rPr>
            <w:t xml:space="preserve">must </w:t>
          </w:r>
          <w:r w:rsidR="00881144" w:rsidRPr="004456ED">
            <w:rPr>
              <w:sz w:val="22"/>
              <w:szCs w:val="22"/>
            </w:rPr>
            <w:t>implement management practices to prevent or reduce the pollution of water in the state.</w:t>
          </w:r>
        </w:p>
        <w:p w14:paraId="105C2B36" w14:textId="77777777" w:rsidR="007D25BA" w:rsidRPr="004456ED" w:rsidRDefault="007335E2" w:rsidP="001E12CD">
          <w:pPr>
            <w:pStyle w:val="BodyText"/>
            <w:spacing w:before="120"/>
            <w:rPr>
              <w:sz w:val="22"/>
              <w:szCs w:val="22"/>
            </w:rPr>
          </w:pPr>
          <w:r w:rsidRPr="004456ED">
            <w:rPr>
              <w:sz w:val="22"/>
              <w:szCs w:val="22"/>
            </w:rPr>
            <w:t xml:space="preserve">Regarding CAFO ownership and </w:t>
          </w:r>
          <w:r w:rsidR="00FD58F9" w:rsidRPr="004456ED">
            <w:rPr>
              <w:sz w:val="22"/>
              <w:szCs w:val="22"/>
            </w:rPr>
            <w:t>loopholes</w:t>
          </w:r>
          <w:r w:rsidR="006F30EF" w:rsidRPr="004456ED">
            <w:rPr>
              <w:sz w:val="22"/>
              <w:szCs w:val="22"/>
            </w:rPr>
            <w:t xml:space="preserve"> that CAFO owners </w:t>
          </w:r>
          <w:r w:rsidR="002E0E85">
            <w:rPr>
              <w:sz w:val="22"/>
              <w:szCs w:val="22"/>
            </w:rPr>
            <w:t xml:space="preserve">may </w:t>
          </w:r>
          <w:r w:rsidR="006F30EF" w:rsidRPr="004456ED">
            <w:rPr>
              <w:sz w:val="22"/>
              <w:szCs w:val="22"/>
            </w:rPr>
            <w:t>use to circumvent the regulation by buying properties under a different name and transferring CAFO manure, sludge and wastewater to the property because it is unregulated,</w:t>
          </w:r>
          <w:r w:rsidR="00246D2F">
            <w:rPr>
              <w:sz w:val="22"/>
              <w:szCs w:val="22"/>
            </w:rPr>
            <w:t xml:space="preserve"> the CAFO GP has mechanisms to prevent these actions by CAFO owners, such as the definition of a Land Management Unit (LMU).</w:t>
          </w:r>
        </w:p>
      </w:sdtContent>
    </w:sdt>
    <w:sdt>
      <w:sdtPr>
        <w:rPr>
          <w:sz w:val="22"/>
          <w:szCs w:val="22"/>
        </w:rPr>
        <w:id w:val="-1348016206"/>
        <w:lock w:val="sdtContentLocked"/>
        <w:placeholder>
          <w:docPart w:val="DefaultPlaceholder_-1854013440"/>
        </w:placeholder>
        <w:group/>
      </w:sdtPr>
      <w:sdtEndPr/>
      <w:sdtContent>
        <w:p w14:paraId="3AF26C7E" w14:textId="77777777" w:rsidR="00DE0F77" w:rsidRPr="004456ED" w:rsidRDefault="007D25BA" w:rsidP="001E12CD">
          <w:pPr>
            <w:pStyle w:val="BodyText"/>
            <w:spacing w:before="120"/>
            <w:rPr>
              <w:sz w:val="22"/>
              <w:szCs w:val="22"/>
            </w:rPr>
          </w:pPr>
          <w:r w:rsidRPr="004456ED">
            <w:rPr>
              <w:sz w:val="22"/>
              <w:szCs w:val="22"/>
            </w:rPr>
            <w:t>A</w:t>
          </w:r>
          <w:r w:rsidR="004515FE" w:rsidRPr="004456ED">
            <w:rPr>
              <w:sz w:val="22"/>
              <w:szCs w:val="22"/>
            </w:rPr>
            <w:t xml:space="preserve"> CAFO LMU is defined as:</w:t>
          </w:r>
        </w:p>
      </w:sdtContent>
    </w:sdt>
    <w:sdt>
      <w:sdtPr>
        <w:rPr>
          <w:sz w:val="22"/>
          <w:szCs w:val="22"/>
        </w:rPr>
        <w:id w:val="40021645"/>
        <w:lock w:val="sdtContentLocked"/>
        <w:placeholder>
          <w:docPart w:val="DefaultPlaceholder_-1854013440"/>
        </w:placeholder>
        <w:group/>
      </w:sdtPr>
      <w:sdtEndPr/>
      <w:sdtContent>
        <w:p w14:paraId="0138E842" w14:textId="77777777" w:rsidR="004515FE" w:rsidRPr="004456ED" w:rsidRDefault="006F30EF" w:rsidP="004515FE">
          <w:pPr>
            <w:pStyle w:val="BodyText"/>
            <w:spacing w:before="120"/>
            <w:ind w:left="540"/>
            <w:rPr>
              <w:sz w:val="22"/>
              <w:szCs w:val="22"/>
            </w:rPr>
          </w:pPr>
          <w:r w:rsidRPr="004456ED">
            <w:rPr>
              <w:sz w:val="22"/>
              <w:szCs w:val="22"/>
            </w:rPr>
            <w:t>“</w:t>
          </w:r>
          <w:r w:rsidR="004515FE" w:rsidRPr="004456ED">
            <w:rPr>
              <w:sz w:val="22"/>
              <w:szCs w:val="22"/>
            </w:rPr>
            <w:t>An area of land owned, operated, controlled, rented or leased by a CAFO permittee to which manure, sludge, or wastewater from the CAFO is or may be applied. This includes land associated with a single center pivot system or a tract of land on which similar soil characteristics exist and similar management practices are being used. Land management units include historical waste, application fields. The term "land management unit" does not apply to any lands not owned, operated, controlled, rented or leased by the CAFO permittee for the purpose of off-site land application of manure, sludge, or wastewater wherein the manure, sludge or wastewater is given or sold to others for land application.</w:t>
          </w:r>
          <w:r w:rsidRPr="004456ED">
            <w:rPr>
              <w:sz w:val="22"/>
              <w:szCs w:val="22"/>
            </w:rPr>
            <w:t>”</w:t>
          </w:r>
        </w:p>
      </w:sdtContent>
    </w:sdt>
    <w:sdt>
      <w:sdtPr>
        <w:rPr>
          <w:sz w:val="22"/>
          <w:szCs w:val="22"/>
        </w:rPr>
        <w:id w:val="-1343923700"/>
        <w:lock w:val="sdtContentLocked"/>
        <w:placeholder>
          <w:docPart w:val="DefaultPlaceholder_-1854013440"/>
        </w:placeholder>
        <w:group/>
      </w:sdtPr>
      <w:sdtEndPr/>
      <w:sdtContent>
        <w:p w14:paraId="7F32CE37" w14:textId="77777777" w:rsidR="00932CE6" w:rsidRDefault="00932CE6" w:rsidP="001E12CD">
          <w:pPr>
            <w:pStyle w:val="BodyText"/>
            <w:spacing w:before="120"/>
            <w:rPr>
              <w:sz w:val="22"/>
              <w:szCs w:val="22"/>
            </w:rPr>
          </w:pPr>
          <w:r w:rsidRPr="004456ED">
            <w:rPr>
              <w:sz w:val="22"/>
              <w:szCs w:val="22"/>
            </w:rPr>
            <w:t xml:space="preserve">If the land meets any of the criteria above (owned, operated, controlled, rented or leased), then the permittee will be in violation of the </w:t>
          </w:r>
          <w:r w:rsidR="005F04B1">
            <w:rPr>
              <w:sz w:val="22"/>
              <w:szCs w:val="22"/>
            </w:rPr>
            <w:t xml:space="preserve">CAFO </w:t>
          </w:r>
          <w:r w:rsidRPr="004456ED">
            <w:rPr>
              <w:sz w:val="22"/>
              <w:szCs w:val="22"/>
            </w:rPr>
            <w:t>GP if it is not an LMU under the authorization. Such lands cannot be considered “off</w:t>
          </w:r>
          <w:r w:rsidR="002E0E85">
            <w:rPr>
              <w:sz w:val="22"/>
              <w:szCs w:val="22"/>
            </w:rPr>
            <w:t>-</w:t>
          </w:r>
          <w:r w:rsidRPr="004456ED">
            <w:rPr>
              <w:sz w:val="22"/>
              <w:szCs w:val="22"/>
            </w:rPr>
            <w:t>site” for the purposes of land application of CAFO manure, sludge or wastewater.</w:t>
          </w:r>
        </w:p>
        <w:p w14:paraId="5B1E148F" w14:textId="77777777" w:rsidR="00401A25" w:rsidRDefault="00401A25" w:rsidP="001E12CD">
          <w:pPr>
            <w:pStyle w:val="BodyText"/>
            <w:spacing w:before="120"/>
            <w:rPr>
              <w:sz w:val="22"/>
              <w:szCs w:val="22"/>
            </w:rPr>
          </w:pPr>
          <w:r>
            <w:rPr>
              <w:sz w:val="22"/>
              <w:szCs w:val="22"/>
            </w:rPr>
            <w:t>TCEQ does not</w:t>
          </w:r>
          <w:r w:rsidR="00246D2F">
            <w:rPr>
              <w:sz w:val="22"/>
              <w:szCs w:val="22"/>
            </w:rPr>
            <w:t xml:space="preserve"> have the statutory authority to</w:t>
          </w:r>
          <w:r>
            <w:rPr>
              <w:sz w:val="22"/>
              <w:szCs w:val="22"/>
            </w:rPr>
            <w:t xml:space="preserve"> regulate the amount of groundwater that can be pumped from wells. Local and regional groundwater conservation districts may have restrictions on well spacing and pumping. Such restrictions, if they exist locally, are beyond the scope of the CAFO GP. But it should be noted that th</w:t>
          </w:r>
          <w:r w:rsidR="00DE1ABF">
            <w:rPr>
              <w:sz w:val="22"/>
              <w:szCs w:val="22"/>
            </w:rPr>
            <w:t>e CAFO GP does not authorize any invasion of personal rights nor any violation of federal, state, or local laws and regulations.</w:t>
          </w:r>
        </w:p>
      </w:sdtContent>
    </w:sdt>
    <w:sdt>
      <w:sdtPr>
        <w:rPr>
          <w:sz w:val="22"/>
          <w:szCs w:val="22"/>
        </w:rPr>
        <w:id w:val="-534738514"/>
        <w:lock w:val="sdtContentLocked"/>
        <w:placeholder>
          <w:docPart w:val="DefaultPlaceholder_-1854013440"/>
        </w:placeholder>
        <w:group/>
      </w:sdtPr>
      <w:sdtEndPr>
        <w:rPr>
          <w:rStyle w:val="Hyperlink"/>
          <w:color w:val="0000FF"/>
          <w:u w:val="single"/>
        </w:rPr>
      </w:sdtEndPr>
      <w:sdtContent>
        <w:p w14:paraId="2C078BA4" w14:textId="77777777" w:rsidR="004D2C48" w:rsidRPr="004456ED" w:rsidRDefault="004D2C48" w:rsidP="001E12CD">
          <w:pPr>
            <w:pStyle w:val="BodyText"/>
            <w:spacing w:before="120"/>
            <w:rPr>
              <w:sz w:val="22"/>
              <w:szCs w:val="22"/>
            </w:rPr>
          </w:pPr>
          <w:r>
            <w:rPr>
              <w:sz w:val="22"/>
              <w:szCs w:val="22"/>
            </w:rPr>
            <w:t>Regarding the concentration of CAFOs, t</w:t>
          </w:r>
          <w:r w:rsidRPr="004D2C48">
            <w:rPr>
              <w:sz w:val="22"/>
              <w:szCs w:val="22"/>
            </w:rPr>
            <w:t xml:space="preserve">he TCEQ does not have </w:t>
          </w:r>
          <w:r w:rsidR="00625E9B">
            <w:rPr>
              <w:sz w:val="22"/>
              <w:szCs w:val="22"/>
            </w:rPr>
            <w:t xml:space="preserve">the </w:t>
          </w:r>
          <w:r w:rsidR="00246D2F">
            <w:rPr>
              <w:sz w:val="22"/>
              <w:szCs w:val="22"/>
            </w:rPr>
            <w:t xml:space="preserve">statutory authority to regulate </w:t>
          </w:r>
          <w:r w:rsidRPr="004D2C48">
            <w:rPr>
              <w:sz w:val="22"/>
              <w:szCs w:val="22"/>
            </w:rPr>
            <w:t xml:space="preserve">zoning and it is beyond the </w:t>
          </w:r>
          <w:r w:rsidR="005E2900">
            <w:rPr>
              <w:sz w:val="22"/>
              <w:szCs w:val="22"/>
            </w:rPr>
            <w:t>TCEQ’s</w:t>
          </w:r>
          <w:r w:rsidR="005E2900" w:rsidRPr="004D2C48">
            <w:rPr>
              <w:sz w:val="22"/>
              <w:szCs w:val="22"/>
            </w:rPr>
            <w:t xml:space="preserve"> </w:t>
          </w:r>
          <w:r w:rsidRPr="004D2C48">
            <w:rPr>
              <w:sz w:val="22"/>
              <w:szCs w:val="22"/>
            </w:rPr>
            <w:t xml:space="preserve">power to </w:t>
          </w:r>
          <w:r w:rsidR="005E2900">
            <w:rPr>
              <w:sz w:val="22"/>
              <w:szCs w:val="22"/>
            </w:rPr>
            <w:t>regulate</w:t>
          </w:r>
          <w:r w:rsidR="005E2900" w:rsidRPr="004D2C48">
            <w:rPr>
              <w:sz w:val="22"/>
              <w:szCs w:val="22"/>
            </w:rPr>
            <w:t xml:space="preserve"> </w:t>
          </w:r>
          <w:r w:rsidRPr="004D2C48">
            <w:rPr>
              <w:sz w:val="22"/>
              <w:szCs w:val="22"/>
            </w:rPr>
            <w:t>an applicant’s site selection. Land use is controlled by local municipalities.</w:t>
          </w:r>
        </w:p>
        <w:p w14:paraId="3884D650" w14:textId="77777777" w:rsidR="00A05AC4" w:rsidRDefault="00A05AC4" w:rsidP="000F1D34">
          <w:pPr>
            <w:pStyle w:val="BodyText"/>
            <w:spacing w:before="120"/>
            <w:rPr>
              <w:b/>
              <w:sz w:val="22"/>
              <w:szCs w:val="22"/>
            </w:rPr>
          </w:pPr>
          <w:r w:rsidRPr="004456ED">
            <w:rPr>
              <w:sz w:val="22"/>
              <w:szCs w:val="22"/>
            </w:rPr>
            <w:t>The CAFO GP is protective of human health and the environment.</w:t>
          </w:r>
          <w:r>
            <w:rPr>
              <w:sz w:val="22"/>
              <w:szCs w:val="22"/>
            </w:rPr>
            <w:t xml:space="preserve"> However, i</w:t>
          </w:r>
          <w:r w:rsidRPr="004456ED">
            <w:rPr>
              <w:sz w:val="22"/>
              <w:szCs w:val="22"/>
            </w:rPr>
            <w:t xml:space="preserve">ndividuals are encouraged to report any concerns about nuisance issues or suspected noncompliance with the terms of any permit or other environmental regulation by calling the TCEQ 24-hour, toll-free Environmental Complaints Hotline at 1-888-777-3186. Additionally, complaints may be filed online at </w:t>
          </w:r>
          <w:hyperlink r:id="rId9" w:history="1">
            <w:r w:rsidRPr="004456ED">
              <w:rPr>
                <w:rStyle w:val="Hyperlink"/>
                <w:sz w:val="22"/>
                <w:szCs w:val="22"/>
              </w:rPr>
              <w:t>www.tceq.texas.gov/complaints</w:t>
            </w:r>
          </w:hyperlink>
          <w:r w:rsidRPr="004456ED">
            <w:rPr>
              <w:sz w:val="22"/>
              <w:szCs w:val="22"/>
            </w:rPr>
            <w:t xml:space="preserve"> or contact the TCEQ Regional Office. TCEQ investigates all complaints received. If the facility is found to be out of compliance with the terms and conditions of its permit, it may be subject to a possible enforcement action. Citizen complaints may also be filed on-line at </w:t>
          </w:r>
          <w:hyperlink r:id="rId10" w:history="1">
            <w:r w:rsidRPr="004456ED">
              <w:rPr>
                <w:rStyle w:val="Hyperlink"/>
                <w:sz w:val="22"/>
                <w:szCs w:val="22"/>
              </w:rPr>
              <w:t>https://www.tceq.texas.gov/assets/public/compliance/monops/complaints/complaints.html</w:t>
            </w:r>
          </w:hyperlink>
        </w:p>
      </w:sdtContent>
    </w:sdt>
    <w:sdt>
      <w:sdtPr>
        <w:rPr>
          <w:b/>
          <w:caps/>
          <w:sz w:val="22"/>
          <w:szCs w:val="22"/>
          <w:u w:val="single"/>
        </w:rPr>
        <w:id w:val="1046183731"/>
        <w:lock w:val="sdtContentLocked"/>
        <w:placeholder>
          <w:docPart w:val="DefaultPlaceholder_-1854013440"/>
        </w:placeholder>
        <w:group/>
      </w:sdtPr>
      <w:sdtEndPr>
        <w:rPr>
          <w:b w:val="0"/>
          <w:caps w:val="0"/>
          <w:u w:val="none"/>
        </w:rPr>
      </w:sdtEndPr>
      <w:sdtContent>
        <w:p w14:paraId="5B1E9CB1" w14:textId="77777777" w:rsidR="00F5747E" w:rsidRPr="00D42C07" w:rsidRDefault="00F5747E" w:rsidP="00F63457">
          <w:pPr>
            <w:pStyle w:val="BodyText"/>
            <w:spacing w:before="240"/>
            <w:rPr>
              <w:b/>
              <w:sz w:val="22"/>
              <w:szCs w:val="22"/>
              <w:u w:val="single"/>
            </w:rPr>
          </w:pPr>
          <w:r w:rsidRPr="00D42C07">
            <w:rPr>
              <w:b/>
              <w:caps/>
              <w:sz w:val="22"/>
              <w:szCs w:val="22"/>
              <w:u w:val="single"/>
            </w:rPr>
            <w:t>Comment</w:t>
          </w:r>
          <w:r w:rsidRPr="00D42C07">
            <w:rPr>
              <w:b/>
              <w:sz w:val="22"/>
              <w:szCs w:val="22"/>
              <w:u w:val="single"/>
            </w:rPr>
            <w:t xml:space="preserve"> 2</w:t>
          </w:r>
        </w:p>
        <w:p w14:paraId="406E2624" w14:textId="77777777" w:rsidR="00F5747E" w:rsidRPr="004456ED" w:rsidRDefault="00332F30" w:rsidP="00F5747E">
          <w:pPr>
            <w:pStyle w:val="BodyText"/>
            <w:spacing w:before="120"/>
            <w:rPr>
              <w:sz w:val="22"/>
              <w:szCs w:val="22"/>
            </w:rPr>
          </w:pPr>
          <w:r>
            <w:rPr>
              <w:sz w:val="22"/>
              <w:szCs w:val="22"/>
            </w:rPr>
            <w:t>Mr.</w:t>
          </w:r>
          <w:r w:rsidR="00F5747E" w:rsidRPr="004456ED">
            <w:rPr>
              <w:sz w:val="22"/>
              <w:szCs w:val="22"/>
            </w:rPr>
            <w:t xml:space="preserve"> Tomlinson comment</w:t>
          </w:r>
          <w:r w:rsidR="00246D2F">
            <w:rPr>
              <w:sz w:val="22"/>
              <w:szCs w:val="22"/>
            </w:rPr>
            <w:t>ed</w:t>
          </w:r>
          <w:r w:rsidR="00F5747E" w:rsidRPr="004456ED">
            <w:rPr>
              <w:sz w:val="22"/>
              <w:szCs w:val="22"/>
            </w:rPr>
            <w:t xml:space="preserve"> that an operator who operates multiple CAFOs and has violations should not be granted another CAFO </w:t>
          </w:r>
          <w:r w:rsidR="005E2900">
            <w:rPr>
              <w:sz w:val="22"/>
              <w:szCs w:val="22"/>
            </w:rPr>
            <w:t xml:space="preserve">operating permit </w:t>
          </w:r>
          <w:r w:rsidR="00F5747E" w:rsidRPr="004456ED">
            <w:rPr>
              <w:sz w:val="22"/>
              <w:szCs w:val="22"/>
            </w:rPr>
            <w:t xml:space="preserve">without considering </w:t>
          </w:r>
          <w:r w:rsidR="005E2900">
            <w:rPr>
              <w:sz w:val="22"/>
              <w:szCs w:val="22"/>
            </w:rPr>
            <w:t>the</w:t>
          </w:r>
          <w:r w:rsidR="005E2900" w:rsidRPr="004456ED">
            <w:rPr>
              <w:sz w:val="22"/>
              <w:szCs w:val="22"/>
            </w:rPr>
            <w:t xml:space="preserve"> </w:t>
          </w:r>
          <w:r w:rsidR="00F5747E" w:rsidRPr="004456ED">
            <w:rPr>
              <w:sz w:val="22"/>
              <w:szCs w:val="22"/>
            </w:rPr>
            <w:t>violations because it will be an indication of poor</w:t>
          </w:r>
          <w:r w:rsidR="005E2900">
            <w:rPr>
              <w:sz w:val="22"/>
              <w:szCs w:val="22"/>
            </w:rPr>
            <w:t xml:space="preserve"> site</w:t>
          </w:r>
          <w:r w:rsidR="00F5747E" w:rsidRPr="004456ED">
            <w:rPr>
              <w:sz w:val="22"/>
              <w:szCs w:val="22"/>
            </w:rPr>
            <w:t xml:space="preserve"> management. </w:t>
          </w:r>
          <w:r w:rsidR="005E2900">
            <w:rPr>
              <w:sz w:val="22"/>
              <w:szCs w:val="22"/>
            </w:rPr>
            <w:t>Mr. Tomlinson request</w:t>
          </w:r>
          <w:r w:rsidR="00C711D6">
            <w:rPr>
              <w:sz w:val="22"/>
              <w:szCs w:val="22"/>
            </w:rPr>
            <w:t>s</w:t>
          </w:r>
          <w:r w:rsidR="005E2900">
            <w:rPr>
              <w:sz w:val="22"/>
              <w:szCs w:val="22"/>
            </w:rPr>
            <w:t xml:space="preserve"> that </w:t>
          </w:r>
          <w:r w:rsidR="00F5747E" w:rsidRPr="004456ED">
            <w:rPr>
              <w:sz w:val="22"/>
              <w:szCs w:val="22"/>
            </w:rPr>
            <w:t>TCEQ review each permit application on a one-by-one basis considering: the effect on the neighbors, the concentration of CAFOs in the area, effects on the road with the number of trucks and manure / sludge spill on the road, effect on water use, and impact of water use on neighboring wells.</w:t>
          </w:r>
        </w:p>
        <w:p w14:paraId="5CBA05DF" w14:textId="77777777" w:rsidR="00F5747E" w:rsidRPr="00D42C07" w:rsidRDefault="00F5747E" w:rsidP="00F5747E">
          <w:pPr>
            <w:pStyle w:val="BodyText"/>
            <w:spacing w:before="120"/>
            <w:rPr>
              <w:b/>
              <w:sz w:val="22"/>
              <w:szCs w:val="22"/>
              <w:u w:val="single"/>
            </w:rPr>
          </w:pPr>
          <w:r w:rsidRPr="00D42C07">
            <w:rPr>
              <w:b/>
              <w:caps/>
              <w:sz w:val="22"/>
              <w:szCs w:val="22"/>
              <w:u w:val="single"/>
            </w:rPr>
            <w:t>Response</w:t>
          </w:r>
          <w:r w:rsidRPr="00D42C07">
            <w:rPr>
              <w:b/>
              <w:sz w:val="22"/>
              <w:szCs w:val="22"/>
              <w:u w:val="single"/>
            </w:rPr>
            <w:t xml:space="preserve"> 2</w:t>
          </w:r>
        </w:p>
        <w:p w14:paraId="67803133" w14:textId="77777777" w:rsidR="00A05AC4" w:rsidRDefault="005E2900" w:rsidP="00F5747E">
          <w:pPr>
            <w:pStyle w:val="BodyText"/>
            <w:spacing w:before="120"/>
            <w:rPr>
              <w:sz w:val="22"/>
              <w:szCs w:val="22"/>
            </w:rPr>
          </w:pPr>
          <w:r w:rsidRPr="004456ED">
            <w:rPr>
              <w:sz w:val="22"/>
              <w:szCs w:val="22"/>
            </w:rPr>
            <w:t xml:space="preserve">TCEQ acknowledges the significance of the concerns </w:t>
          </w:r>
          <w:r w:rsidR="008B0152">
            <w:rPr>
              <w:sz w:val="22"/>
              <w:szCs w:val="22"/>
            </w:rPr>
            <w:t xml:space="preserve">of </w:t>
          </w:r>
          <w:r w:rsidR="008B0152" w:rsidRPr="004456ED">
            <w:rPr>
              <w:sz w:val="22"/>
              <w:szCs w:val="22"/>
            </w:rPr>
            <w:t>nearby</w:t>
          </w:r>
          <w:r w:rsidRPr="004456ED">
            <w:rPr>
              <w:sz w:val="22"/>
              <w:szCs w:val="22"/>
            </w:rPr>
            <w:t xml:space="preserve"> landowners regarding consideration for neighbors, trucks and manure on the road, water use, and impact of water use on neighboring wells</w:t>
          </w:r>
          <w:r>
            <w:rPr>
              <w:sz w:val="22"/>
              <w:szCs w:val="22"/>
            </w:rPr>
            <w:t xml:space="preserve">. However, </w:t>
          </w:r>
          <w:r w:rsidR="00A05AC4">
            <w:rPr>
              <w:sz w:val="22"/>
              <w:szCs w:val="22"/>
            </w:rPr>
            <w:t>some of the concerns</w:t>
          </w:r>
          <w:r w:rsidR="00A05AC4" w:rsidRPr="00B96F0D">
            <w:rPr>
              <w:sz w:val="22"/>
              <w:szCs w:val="22"/>
            </w:rPr>
            <w:t xml:space="preserve"> raised by Mr. Tomlinson</w:t>
          </w:r>
          <w:r w:rsidR="00A05AC4">
            <w:rPr>
              <w:sz w:val="22"/>
              <w:szCs w:val="22"/>
            </w:rPr>
            <w:t xml:space="preserve"> are currently addressed by the CAFO GP provisions described below or are concerns that </w:t>
          </w:r>
          <w:r w:rsidR="00C711D6">
            <w:rPr>
              <w:sz w:val="22"/>
              <w:szCs w:val="22"/>
            </w:rPr>
            <w:t xml:space="preserve">the TCEQ </w:t>
          </w:r>
          <w:r>
            <w:rPr>
              <w:sz w:val="22"/>
              <w:szCs w:val="22"/>
            </w:rPr>
            <w:t>does not have the statutory authority to</w:t>
          </w:r>
          <w:r w:rsidRPr="004456ED">
            <w:rPr>
              <w:sz w:val="22"/>
              <w:szCs w:val="22"/>
            </w:rPr>
            <w:t xml:space="preserve"> address in the permitting process.</w:t>
          </w:r>
          <w:r w:rsidR="00A05AC4">
            <w:rPr>
              <w:sz w:val="22"/>
              <w:szCs w:val="22"/>
            </w:rPr>
            <w:t xml:space="preserve"> Therefore, no changes to the CAFO GP were made in response to Mr. Tomlinson’s comments. </w:t>
          </w:r>
          <w:r w:rsidRPr="004456ED">
            <w:rPr>
              <w:sz w:val="22"/>
              <w:szCs w:val="22"/>
            </w:rPr>
            <w:t xml:space="preserve"> </w:t>
          </w:r>
        </w:p>
        <w:p w14:paraId="3BEC4EAA" w14:textId="77777777" w:rsidR="00F5747E" w:rsidRPr="004456ED" w:rsidRDefault="00F5747E" w:rsidP="00F5747E">
          <w:pPr>
            <w:pStyle w:val="BodyText"/>
            <w:spacing w:before="120"/>
            <w:rPr>
              <w:sz w:val="22"/>
              <w:szCs w:val="22"/>
            </w:rPr>
          </w:pPr>
          <w:r w:rsidRPr="004456ED">
            <w:rPr>
              <w:sz w:val="22"/>
              <w:szCs w:val="22"/>
            </w:rPr>
            <w:t xml:space="preserve">The ED reviews applications for consistency with the rules as set forth in 30 TAC 321 subchapter B. In the wastewater permitting process, TCEQ is tasked by the Legislature with protecting the quality of water in the state. The concerns </w:t>
          </w:r>
          <w:r w:rsidR="005E2900">
            <w:rPr>
              <w:sz w:val="22"/>
              <w:szCs w:val="22"/>
            </w:rPr>
            <w:t xml:space="preserve">described above by Mr. Tomlinson </w:t>
          </w:r>
          <w:r w:rsidRPr="004456ED">
            <w:rPr>
              <w:sz w:val="22"/>
              <w:szCs w:val="22"/>
            </w:rPr>
            <w:t xml:space="preserve">are not factors in determining whether an Applicant has met all the statutory and regulatory criteria applicable to a wastewater permit. </w:t>
          </w:r>
          <w:r w:rsidR="005E2900">
            <w:rPr>
              <w:sz w:val="22"/>
              <w:szCs w:val="22"/>
            </w:rPr>
            <w:t>That said</w:t>
          </w:r>
          <w:r w:rsidRPr="004456ED">
            <w:rPr>
              <w:sz w:val="22"/>
              <w:szCs w:val="22"/>
            </w:rPr>
            <w:t xml:space="preserve">, the </w:t>
          </w:r>
          <w:r w:rsidR="005F04B1">
            <w:rPr>
              <w:sz w:val="22"/>
              <w:szCs w:val="22"/>
            </w:rPr>
            <w:t xml:space="preserve">CAFO </w:t>
          </w:r>
          <w:r w:rsidRPr="004456ED">
            <w:rPr>
              <w:sz w:val="22"/>
              <w:szCs w:val="22"/>
            </w:rPr>
            <w:t>GP does not allow the permit holder to maintain a condition of nuisance that could interfere with a landowner’s use and enjoyment of his property.</w:t>
          </w:r>
        </w:p>
        <w:p w14:paraId="7392A121" w14:textId="77777777" w:rsidR="00F5747E" w:rsidRPr="004456ED" w:rsidRDefault="00F5747E" w:rsidP="00F5747E">
          <w:pPr>
            <w:pStyle w:val="BodyText"/>
            <w:spacing w:before="120"/>
            <w:rPr>
              <w:sz w:val="22"/>
              <w:szCs w:val="22"/>
            </w:rPr>
          </w:pPr>
          <w:r w:rsidRPr="004456ED">
            <w:rPr>
              <w:sz w:val="22"/>
              <w:szCs w:val="22"/>
            </w:rPr>
            <w:t xml:space="preserve">The </w:t>
          </w:r>
          <w:r w:rsidR="005F04B1">
            <w:rPr>
              <w:sz w:val="22"/>
              <w:szCs w:val="22"/>
            </w:rPr>
            <w:t xml:space="preserve">CAFO </w:t>
          </w:r>
          <w:r w:rsidRPr="004456ED">
            <w:rPr>
              <w:sz w:val="22"/>
              <w:szCs w:val="22"/>
            </w:rPr>
            <w:t>GP requires that CAFO facilities develop a pollution prevention plan (PPP) in accordance with good engineering practices and include control measures necessary to limit the discharge of pollutants to water in the state. The PPP is to be amended:</w:t>
          </w:r>
        </w:p>
        <w:p w14:paraId="5B3C52DE" w14:textId="77777777" w:rsidR="00F5747E" w:rsidRPr="004456ED" w:rsidRDefault="00F5747E" w:rsidP="00F5747E">
          <w:pPr>
            <w:pStyle w:val="BodyText"/>
            <w:spacing w:before="120"/>
            <w:ind w:left="540" w:hanging="540"/>
            <w:rPr>
              <w:sz w:val="22"/>
              <w:szCs w:val="22"/>
            </w:rPr>
          </w:pPr>
          <w:r w:rsidRPr="004456ED">
            <w:rPr>
              <w:sz w:val="22"/>
              <w:szCs w:val="22"/>
            </w:rPr>
            <w:t>(1)</w:t>
          </w:r>
          <w:r w:rsidRPr="004456ED">
            <w:rPr>
              <w:sz w:val="22"/>
              <w:szCs w:val="22"/>
            </w:rPr>
            <w:tab/>
            <w:t>before any change in the acreage or boundaries of LMUs;</w:t>
          </w:r>
        </w:p>
        <w:p w14:paraId="3443ED6F" w14:textId="77777777" w:rsidR="00F5747E" w:rsidRPr="004456ED" w:rsidRDefault="00F5747E" w:rsidP="00F5747E">
          <w:pPr>
            <w:pStyle w:val="BodyText"/>
            <w:spacing w:before="120"/>
            <w:ind w:left="540" w:hanging="540"/>
            <w:rPr>
              <w:sz w:val="22"/>
              <w:szCs w:val="22"/>
            </w:rPr>
          </w:pPr>
          <w:r w:rsidRPr="004456ED">
            <w:rPr>
              <w:sz w:val="22"/>
              <w:szCs w:val="22"/>
            </w:rPr>
            <w:t>(2)</w:t>
          </w:r>
          <w:r w:rsidRPr="004456ED">
            <w:rPr>
              <w:sz w:val="22"/>
              <w:szCs w:val="22"/>
            </w:rPr>
            <w:tab/>
            <w:t>before any increase in the maximum number of animals;</w:t>
          </w:r>
        </w:p>
        <w:p w14:paraId="2CF88C8C" w14:textId="77777777" w:rsidR="00F5747E" w:rsidRPr="004456ED" w:rsidRDefault="00F5747E" w:rsidP="00F5747E">
          <w:pPr>
            <w:pStyle w:val="BodyText"/>
            <w:spacing w:before="120"/>
            <w:ind w:left="540" w:hanging="540"/>
            <w:rPr>
              <w:sz w:val="22"/>
              <w:szCs w:val="22"/>
            </w:rPr>
          </w:pPr>
          <w:r w:rsidRPr="004456ED">
            <w:rPr>
              <w:sz w:val="22"/>
              <w:szCs w:val="22"/>
            </w:rPr>
            <w:t>(3)</w:t>
          </w:r>
          <w:r w:rsidRPr="004456ED">
            <w:rPr>
              <w:sz w:val="22"/>
              <w:szCs w:val="22"/>
            </w:rPr>
            <w:tab/>
            <w:t>after any new construction or modification of control facilities;</w:t>
          </w:r>
        </w:p>
        <w:p w14:paraId="5634ACCD" w14:textId="77777777" w:rsidR="00F5747E" w:rsidRPr="004456ED" w:rsidRDefault="00F5747E" w:rsidP="00F5747E">
          <w:pPr>
            <w:pStyle w:val="BodyText"/>
            <w:spacing w:before="120"/>
            <w:ind w:left="540" w:hanging="540"/>
            <w:rPr>
              <w:sz w:val="22"/>
              <w:szCs w:val="22"/>
            </w:rPr>
          </w:pPr>
          <w:r w:rsidRPr="004456ED">
            <w:rPr>
              <w:sz w:val="22"/>
              <w:szCs w:val="22"/>
            </w:rPr>
            <w:t>(4)</w:t>
          </w:r>
          <w:r w:rsidRPr="004456ED">
            <w:rPr>
              <w:sz w:val="22"/>
              <w:szCs w:val="22"/>
            </w:rPr>
            <w:tab/>
            <w:t>before any change which has a significant effect on the potential for the discharge of pollutants to water in the state;</w:t>
          </w:r>
        </w:p>
        <w:p w14:paraId="3DD61B6D" w14:textId="77777777" w:rsidR="00F5747E" w:rsidRPr="004456ED" w:rsidRDefault="00F5747E" w:rsidP="00F5747E">
          <w:pPr>
            <w:pStyle w:val="BodyText"/>
            <w:spacing w:before="120"/>
            <w:ind w:left="540" w:hanging="540"/>
            <w:rPr>
              <w:sz w:val="22"/>
              <w:szCs w:val="22"/>
            </w:rPr>
          </w:pPr>
          <w:r w:rsidRPr="004456ED">
            <w:rPr>
              <w:sz w:val="22"/>
              <w:szCs w:val="22"/>
            </w:rPr>
            <w:t>(5)</w:t>
          </w:r>
          <w:r w:rsidRPr="004456ED">
            <w:rPr>
              <w:sz w:val="22"/>
              <w:szCs w:val="22"/>
            </w:rPr>
            <w:tab/>
            <w:t>if the PPP is not effective in achieving the general objectives of controlling pollutants in discharges from the production area or LMUs; or</w:t>
          </w:r>
        </w:p>
        <w:p w14:paraId="59E6EE1A" w14:textId="77777777" w:rsidR="00F5747E" w:rsidRPr="004456ED" w:rsidRDefault="00F5747E" w:rsidP="00F5747E">
          <w:pPr>
            <w:pStyle w:val="BodyText"/>
            <w:spacing w:before="120"/>
            <w:ind w:left="540" w:hanging="540"/>
            <w:rPr>
              <w:sz w:val="22"/>
              <w:szCs w:val="22"/>
            </w:rPr>
          </w:pPr>
          <w:r w:rsidRPr="004456ED">
            <w:rPr>
              <w:sz w:val="22"/>
              <w:szCs w:val="22"/>
            </w:rPr>
            <w:t>(6)</w:t>
          </w:r>
          <w:r w:rsidRPr="004456ED">
            <w:rPr>
              <w:sz w:val="22"/>
              <w:szCs w:val="22"/>
            </w:rPr>
            <w:tab/>
            <w:t>within 90 days following written notification from the Executive Director that the plan does not meet one or more of the minimum requirements of this general permit.</w:t>
          </w:r>
        </w:p>
        <w:p w14:paraId="0B493C8E" w14:textId="77777777" w:rsidR="00F5747E" w:rsidRDefault="00F5747E" w:rsidP="000F1D34">
          <w:pPr>
            <w:pStyle w:val="BodyText"/>
            <w:spacing w:before="120"/>
            <w:rPr>
              <w:sz w:val="22"/>
              <w:szCs w:val="22"/>
            </w:rPr>
          </w:pPr>
          <w:r w:rsidRPr="004456ED">
            <w:rPr>
              <w:sz w:val="22"/>
              <w:szCs w:val="22"/>
            </w:rPr>
            <w:t xml:space="preserve">Regarding compliance history, when CAFOs renew their </w:t>
          </w:r>
          <w:r w:rsidR="005F04B1">
            <w:rPr>
              <w:sz w:val="22"/>
              <w:szCs w:val="22"/>
            </w:rPr>
            <w:t xml:space="preserve">CAFO </w:t>
          </w:r>
          <w:r w:rsidR="005E2900">
            <w:rPr>
              <w:sz w:val="22"/>
              <w:szCs w:val="22"/>
            </w:rPr>
            <w:t xml:space="preserve">GP </w:t>
          </w:r>
          <w:r w:rsidRPr="004456ED">
            <w:rPr>
              <w:sz w:val="22"/>
              <w:szCs w:val="22"/>
            </w:rPr>
            <w:t xml:space="preserve">authorization, TCEQ generates </w:t>
          </w:r>
          <w:r w:rsidR="005E2900">
            <w:rPr>
              <w:sz w:val="22"/>
              <w:szCs w:val="22"/>
            </w:rPr>
            <w:t>a</w:t>
          </w:r>
          <w:r w:rsidR="005E2900" w:rsidRPr="004456ED">
            <w:rPr>
              <w:sz w:val="22"/>
              <w:szCs w:val="22"/>
            </w:rPr>
            <w:t xml:space="preserve"> </w:t>
          </w:r>
          <w:r w:rsidR="005E2900">
            <w:rPr>
              <w:sz w:val="22"/>
              <w:szCs w:val="22"/>
            </w:rPr>
            <w:t>C</w:t>
          </w:r>
          <w:r w:rsidRPr="004456ED">
            <w:rPr>
              <w:sz w:val="22"/>
              <w:szCs w:val="22"/>
            </w:rPr>
            <w:t xml:space="preserve">ompliance </w:t>
          </w:r>
          <w:r w:rsidR="005E2900">
            <w:rPr>
              <w:sz w:val="22"/>
              <w:szCs w:val="22"/>
            </w:rPr>
            <w:t>H</w:t>
          </w:r>
          <w:r w:rsidRPr="004456ED">
            <w:rPr>
              <w:sz w:val="22"/>
              <w:szCs w:val="22"/>
            </w:rPr>
            <w:t xml:space="preserve">istory </w:t>
          </w:r>
          <w:r w:rsidR="005E2900">
            <w:rPr>
              <w:sz w:val="22"/>
              <w:szCs w:val="22"/>
            </w:rPr>
            <w:t>R</w:t>
          </w:r>
          <w:r w:rsidRPr="004456ED">
            <w:rPr>
              <w:sz w:val="22"/>
              <w:szCs w:val="22"/>
            </w:rPr>
            <w:t>eport and any CAFO</w:t>
          </w:r>
          <w:r>
            <w:rPr>
              <w:sz w:val="22"/>
              <w:szCs w:val="22"/>
            </w:rPr>
            <w:t>s</w:t>
          </w:r>
          <w:r w:rsidRPr="004456ED">
            <w:rPr>
              <w:sz w:val="22"/>
              <w:szCs w:val="22"/>
            </w:rPr>
            <w:t xml:space="preserve"> that have </w:t>
          </w:r>
          <w:r w:rsidR="005E2900">
            <w:rPr>
              <w:sz w:val="22"/>
              <w:szCs w:val="22"/>
            </w:rPr>
            <w:t xml:space="preserve">a </w:t>
          </w:r>
          <w:r w:rsidRPr="004456ED">
            <w:rPr>
              <w:sz w:val="22"/>
              <w:szCs w:val="22"/>
            </w:rPr>
            <w:t xml:space="preserve">compliance rating of </w:t>
          </w:r>
          <w:r w:rsidR="005E2900">
            <w:rPr>
              <w:sz w:val="22"/>
              <w:szCs w:val="22"/>
            </w:rPr>
            <w:t>“</w:t>
          </w:r>
          <w:r w:rsidRPr="004456ED">
            <w:rPr>
              <w:sz w:val="22"/>
              <w:szCs w:val="22"/>
            </w:rPr>
            <w:t>unsatisfactory</w:t>
          </w:r>
          <w:r w:rsidR="005E2900">
            <w:rPr>
              <w:sz w:val="22"/>
              <w:szCs w:val="22"/>
            </w:rPr>
            <w:t>”</w:t>
          </w:r>
          <w:r w:rsidRPr="004456ED">
            <w:rPr>
              <w:sz w:val="22"/>
              <w:szCs w:val="22"/>
            </w:rPr>
            <w:t xml:space="preserve"> will lose coverage under the</w:t>
          </w:r>
          <w:r w:rsidR="005F04B1">
            <w:rPr>
              <w:sz w:val="22"/>
              <w:szCs w:val="22"/>
            </w:rPr>
            <w:t xml:space="preserve"> CAFO</w:t>
          </w:r>
          <w:r w:rsidRPr="004456ED">
            <w:rPr>
              <w:sz w:val="22"/>
              <w:szCs w:val="22"/>
            </w:rPr>
            <w:t xml:space="preserve"> GP and be required to apply for an individual permit coverage.</w:t>
          </w:r>
        </w:p>
        <w:p w14:paraId="13A4D6A6" w14:textId="77777777" w:rsidR="0022573C" w:rsidRPr="00D42C07" w:rsidRDefault="0022573C" w:rsidP="000F1D34">
          <w:pPr>
            <w:pStyle w:val="BodyText"/>
            <w:spacing w:before="120"/>
            <w:rPr>
              <w:b/>
              <w:caps/>
              <w:sz w:val="22"/>
              <w:szCs w:val="22"/>
              <w:u w:val="single"/>
            </w:rPr>
          </w:pPr>
          <w:r w:rsidRPr="00D42C07">
            <w:rPr>
              <w:b/>
              <w:caps/>
              <w:sz w:val="22"/>
              <w:szCs w:val="22"/>
              <w:u w:val="single"/>
            </w:rPr>
            <w:t xml:space="preserve">Comment </w:t>
          </w:r>
          <w:r w:rsidR="00F5747E" w:rsidRPr="00D42C07">
            <w:rPr>
              <w:b/>
              <w:caps/>
              <w:sz w:val="22"/>
              <w:szCs w:val="22"/>
              <w:u w:val="single"/>
            </w:rPr>
            <w:t>3</w:t>
          </w:r>
        </w:p>
        <w:p w14:paraId="35CB6796" w14:textId="77777777" w:rsidR="00C90184" w:rsidRDefault="00C711D6" w:rsidP="001E12CD">
          <w:pPr>
            <w:pStyle w:val="BodyText"/>
            <w:spacing w:before="120"/>
            <w:rPr>
              <w:sz w:val="22"/>
              <w:szCs w:val="22"/>
            </w:rPr>
          </w:pPr>
          <w:r>
            <w:rPr>
              <w:sz w:val="22"/>
              <w:szCs w:val="22"/>
            </w:rPr>
            <w:t>Ben</w:t>
          </w:r>
          <w:r w:rsidR="00417E18">
            <w:rPr>
              <w:sz w:val="22"/>
              <w:szCs w:val="22"/>
            </w:rPr>
            <w:t xml:space="preserve"> Weinheimer, on behalf of the </w:t>
          </w:r>
          <w:r w:rsidR="00D6013B" w:rsidRPr="004456ED">
            <w:rPr>
              <w:sz w:val="22"/>
              <w:szCs w:val="22"/>
            </w:rPr>
            <w:t>CAFO Industry Groups</w:t>
          </w:r>
          <w:r>
            <w:rPr>
              <w:sz w:val="22"/>
              <w:szCs w:val="22"/>
            </w:rPr>
            <w:t>, commented that the CAFO Industry Groups</w:t>
          </w:r>
          <w:r w:rsidR="00D6013B" w:rsidRPr="004456ED">
            <w:rPr>
              <w:sz w:val="22"/>
              <w:szCs w:val="22"/>
            </w:rPr>
            <w:t xml:space="preserve"> </w:t>
          </w:r>
          <w:r w:rsidR="00F216B2" w:rsidRPr="004456ED">
            <w:rPr>
              <w:sz w:val="22"/>
              <w:szCs w:val="22"/>
            </w:rPr>
            <w:t>continue t</w:t>
          </w:r>
          <w:r w:rsidR="00376E3C" w:rsidRPr="004456ED">
            <w:rPr>
              <w:sz w:val="22"/>
              <w:szCs w:val="22"/>
            </w:rPr>
            <w:t>heir s</w:t>
          </w:r>
          <w:r w:rsidR="0022573C" w:rsidRPr="004456ED">
            <w:rPr>
              <w:sz w:val="22"/>
              <w:szCs w:val="22"/>
            </w:rPr>
            <w:t xml:space="preserve">upport </w:t>
          </w:r>
          <w:r w:rsidR="00376E3C" w:rsidRPr="004456ED">
            <w:rPr>
              <w:sz w:val="22"/>
              <w:szCs w:val="22"/>
            </w:rPr>
            <w:t xml:space="preserve">and approval </w:t>
          </w:r>
          <w:r w:rsidR="0022573C" w:rsidRPr="004456ED">
            <w:rPr>
              <w:sz w:val="22"/>
              <w:szCs w:val="22"/>
            </w:rPr>
            <w:t xml:space="preserve">of the </w:t>
          </w:r>
          <w:r w:rsidR="005F04B1">
            <w:rPr>
              <w:sz w:val="22"/>
              <w:szCs w:val="22"/>
            </w:rPr>
            <w:t xml:space="preserve">CAFO </w:t>
          </w:r>
          <w:r w:rsidR="0022573C" w:rsidRPr="004456ED">
            <w:rPr>
              <w:sz w:val="22"/>
              <w:szCs w:val="22"/>
            </w:rPr>
            <w:t>GP</w:t>
          </w:r>
          <w:r w:rsidR="00C90184" w:rsidRPr="004456ED">
            <w:rPr>
              <w:sz w:val="22"/>
              <w:szCs w:val="22"/>
            </w:rPr>
            <w:t>.</w:t>
          </w:r>
        </w:p>
      </w:sdtContent>
    </w:sdt>
    <w:sdt>
      <w:sdtPr>
        <w:rPr>
          <w:b/>
          <w:caps/>
          <w:sz w:val="22"/>
          <w:szCs w:val="22"/>
          <w:u w:val="single"/>
        </w:rPr>
        <w:id w:val="454377300"/>
        <w:lock w:val="sdtContentLocked"/>
        <w:placeholder>
          <w:docPart w:val="DefaultPlaceholder_-1854013440"/>
        </w:placeholder>
        <w:group/>
      </w:sdtPr>
      <w:sdtEndPr>
        <w:rPr>
          <w:b w:val="0"/>
          <w:caps w:val="0"/>
          <w:u w:val="none"/>
        </w:rPr>
      </w:sdtEndPr>
      <w:sdtContent>
        <w:p w14:paraId="5751B1B1" w14:textId="77777777" w:rsidR="0022573C" w:rsidRPr="00D42C07" w:rsidRDefault="0022573C" w:rsidP="001E12CD">
          <w:pPr>
            <w:pStyle w:val="BodyText"/>
            <w:spacing w:before="120"/>
            <w:rPr>
              <w:b/>
              <w:caps/>
              <w:sz w:val="22"/>
              <w:szCs w:val="22"/>
              <w:u w:val="single"/>
            </w:rPr>
          </w:pPr>
          <w:r w:rsidRPr="00D42C07">
            <w:rPr>
              <w:b/>
              <w:caps/>
              <w:sz w:val="22"/>
              <w:szCs w:val="22"/>
              <w:u w:val="single"/>
            </w:rPr>
            <w:t xml:space="preserve">Response </w:t>
          </w:r>
          <w:r w:rsidR="00F5747E" w:rsidRPr="00D42C07">
            <w:rPr>
              <w:b/>
              <w:caps/>
              <w:sz w:val="22"/>
              <w:szCs w:val="22"/>
              <w:u w:val="single"/>
            </w:rPr>
            <w:t>3</w:t>
          </w:r>
        </w:p>
        <w:p w14:paraId="741AC916" w14:textId="77777777" w:rsidR="006E503E" w:rsidRPr="004456ED" w:rsidRDefault="0022573C" w:rsidP="000F1D34">
          <w:pPr>
            <w:pStyle w:val="BodyText"/>
            <w:spacing w:before="120"/>
            <w:rPr>
              <w:sz w:val="22"/>
              <w:szCs w:val="22"/>
            </w:rPr>
          </w:pPr>
          <w:r w:rsidRPr="004456ED">
            <w:rPr>
              <w:sz w:val="22"/>
              <w:szCs w:val="22"/>
            </w:rPr>
            <w:lastRenderedPageBreak/>
            <w:t xml:space="preserve">TCEQ acknowledges </w:t>
          </w:r>
          <w:r w:rsidR="005E2900">
            <w:rPr>
              <w:sz w:val="22"/>
              <w:szCs w:val="22"/>
            </w:rPr>
            <w:t xml:space="preserve">the supportive </w:t>
          </w:r>
          <w:r w:rsidRPr="004456ED">
            <w:rPr>
              <w:sz w:val="22"/>
              <w:szCs w:val="22"/>
            </w:rPr>
            <w:t>comment.</w:t>
          </w:r>
        </w:p>
        <w:p w14:paraId="42A13F83" w14:textId="77777777" w:rsidR="00D73357" w:rsidRPr="00D42C07" w:rsidRDefault="00D73357" w:rsidP="000F1D34">
          <w:pPr>
            <w:pStyle w:val="BodyText"/>
            <w:spacing w:before="120"/>
            <w:rPr>
              <w:b/>
              <w:caps/>
              <w:sz w:val="22"/>
              <w:szCs w:val="22"/>
              <w:u w:val="single"/>
            </w:rPr>
          </w:pPr>
          <w:r w:rsidRPr="00D42C07">
            <w:rPr>
              <w:b/>
              <w:caps/>
              <w:sz w:val="22"/>
              <w:szCs w:val="22"/>
              <w:u w:val="single"/>
            </w:rPr>
            <w:t xml:space="preserve">Comment </w:t>
          </w:r>
          <w:r w:rsidR="00F5747E" w:rsidRPr="00D42C07">
            <w:rPr>
              <w:b/>
              <w:caps/>
              <w:sz w:val="22"/>
              <w:szCs w:val="22"/>
              <w:u w:val="single"/>
            </w:rPr>
            <w:t>4</w:t>
          </w:r>
        </w:p>
        <w:p w14:paraId="3F0E5B6F" w14:textId="77777777" w:rsidR="00E2418B" w:rsidRDefault="00C711D6" w:rsidP="001E12CD">
          <w:pPr>
            <w:pStyle w:val="BodyText"/>
            <w:spacing w:before="120"/>
            <w:rPr>
              <w:sz w:val="22"/>
              <w:szCs w:val="22"/>
            </w:rPr>
          </w:pPr>
          <w:r>
            <w:rPr>
              <w:sz w:val="22"/>
              <w:szCs w:val="22"/>
            </w:rPr>
            <w:t>Ben</w:t>
          </w:r>
          <w:r w:rsidR="008B0152">
            <w:rPr>
              <w:sz w:val="22"/>
              <w:szCs w:val="22"/>
            </w:rPr>
            <w:t xml:space="preserve"> </w:t>
          </w:r>
          <w:r w:rsidR="00E92421">
            <w:rPr>
              <w:sz w:val="22"/>
              <w:szCs w:val="22"/>
            </w:rPr>
            <w:t xml:space="preserve">Weinheimer, on behalf of the </w:t>
          </w:r>
          <w:r w:rsidR="00D73357" w:rsidRPr="004456ED">
            <w:rPr>
              <w:sz w:val="22"/>
              <w:szCs w:val="22"/>
            </w:rPr>
            <w:t>CAFO Industry Groups</w:t>
          </w:r>
          <w:r w:rsidR="008C4CE1">
            <w:rPr>
              <w:sz w:val="22"/>
              <w:szCs w:val="22"/>
            </w:rPr>
            <w:t>,</w:t>
          </w:r>
          <w:r w:rsidR="00D73357" w:rsidRPr="004456ED">
            <w:rPr>
              <w:sz w:val="22"/>
              <w:szCs w:val="22"/>
            </w:rPr>
            <w:t xml:space="preserve"> comment</w:t>
          </w:r>
          <w:r w:rsidR="00E92421">
            <w:rPr>
              <w:sz w:val="22"/>
              <w:szCs w:val="22"/>
            </w:rPr>
            <w:t>ed</w:t>
          </w:r>
          <w:r w:rsidR="00D73357" w:rsidRPr="004456ED">
            <w:rPr>
              <w:sz w:val="22"/>
              <w:szCs w:val="22"/>
            </w:rPr>
            <w:t xml:space="preserve"> that the definition of </w:t>
          </w:r>
          <w:r w:rsidR="006C764A" w:rsidRPr="004456ED">
            <w:rPr>
              <w:sz w:val="22"/>
              <w:szCs w:val="22"/>
            </w:rPr>
            <w:t>“</w:t>
          </w:r>
          <w:r w:rsidR="00D73357" w:rsidRPr="004456ED">
            <w:rPr>
              <w:sz w:val="22"/>
              <w:szCs w:val="22"/>
            </w:rPr>
            <w:t>Wellhead Protection Structure</w:t>
          </w:r>
          <w:r w:rsidR="006C764A" w:rsidRPr="004456ED">
            <w:rPr>
              <w:sz w:val="22"/>
              <w:szCs w:val="22"/>
            </w:rPr>
            <w:t xml:space="preserve">” should </w:t>
          </w:r>
          <w:r w:rsidR="00D73357" w:rsidRPr="004456ED">
            <w:rPr>
              <w:sz w:val="22"/>
              <w:szCs w:val="22"/>
            </w:rPr>
            <w:t xml:space="preserve">be revised </w:t>
          </w:r>
          <w:r w:rsidR="005842D6" w:rsidRPr="004456ED">
            <w:rPr>
              <w:sz w:val="22"/>
              <w:szCs w:val="22"/>
            </w:rPr>
            <w:t>by deleting the words “or</w:t>
          </w:r>
          <w:r w:rsidR="00D73357" w:rsidRPr="004456ED">
            <w:rPr>
              <w:sz w:val="22"/>
              <w:szCs w:val="22"/>
            </w:rPr>
            <w:t xml:space="preserve"> manure</w:t>
          </w:r>
          <w:r w:rsidR="005842D6" w:rsidRPr="004456ED">
            <w:rPr>
              <w:sz w:val="22"/>
              <w:szCs w:val="22"/>
            </w:rPr>
            <w:t>” in two instances within the definition</w:t>
          </w:r>
          <w:r w:rsidR="00E92421">
            <w:rPr>
              <w:sz w:val="22"/>
              <w:szCs w:val="22"/>
            </w:rPr>
            <w:t xml:space="preserve"> because installation of a Wellhead Protection Structure is only necessary to help prevent direct contact of wastewater with a wellhead. Mr. Weinheimer also stated that in the case of dry manure application, the manure spreading equipment is operated in a manner to maintain the required buffer zone between the wellhead and where the manure is being land applied.</w:t>
          </w:r>
        </w:p>
        <w:p w14:paraId="24D678CF" w14:textId="77777777" w:rsidR="00D73357" w:rsidRPr="00D42C07" w:rsidRDefault="00D73357" w:rsidP="001E12CD">
          <w:pPr>
            <w:pStyle w:val="BodyText"/>
            <w:spacing w:before="120"/>
            <w:rPr>
              <w:b/>
              <w:caps/>
              <w:sz w:val="22"/>
              <w:szCs w:val="22"/>
              <w:u w:val="single"/>
            </w:rPr>
          </w:pPr>
          <w:r w:rsidRPr="00D42C07">
            <w:rPr>
              <w:b/>
              <w:caps/>
              <w:sz w:val="22"/>
              <w:szCs w:val="22"/>
              <w:u w:val="single"/>
            </w:rPr>
            <w:t xml:space="preserve">Response </w:t>
          </w:r>
          <w:r w:rsidR="00F5747E" w:rsidRPr="00D42C07">
            <w:rPr>
              <w:b/>
              <w:caps/>
              <w:sz w:val="22"/>
              <w:szCs w:val="22"/>
              <w:u w:val="single"/>
            </w:rPr>
            <w:t>4</w:t>
          </w:r>
        </w:p>
        <w:p w14:paraId="52E55B9D" w14:textId="77777777" w:rsidR="00D73357" w:rsidRPr="004456ED" w:rsidRDefault="00782DE0" w:rsidP="001E12CD">
          <w:pPr>
            <w:pStyle w:val="BodyText"/>
            <w:spacing w:before="120"/>
            <w:rPr>
              <w:sz w:val="22"/>
              <w:szCs w:val="22"/>
            </w:rPr>
          </w:pPr>
          <w:r>
            <w:rPr>
              <w:sz w:val="22"/>
              <w:szCs w:val="22"/>
            </w:rPr>
            <w:t xml:space="preserve">For the purposes of consistency with the Pollution Prevention Plan Requirements, found in </w:t>
          </w:r>
          <w:r w:rsidRPr="00782DE0">
            <w:rPr>
              <w:sz w:val="22"/>
              <w:szCs w:val="22"/>
            </w:rPr>
            <w:t>Part III.A.4(4)(c)(6)</w:t>
          </w:r>
          <w:r>
            <w:rPr>
              <w:sz w:val="22"/>
              <w:szCs w:val="22"/>
            </w:rPr>
            <w:t xml:space="preserve"> of the CAFO GP, and i</w:t>
          </w:r>
          <w:r w:rsidRPr="004456ED">
            <w:rPr>
              <w:sz w:val="22"/>
              <w:szCs w:val="22"/>
            </w:rPr>
            <w:t>n response to this comment</w:t>
          </w:r>
          <w:r>
            <w:rPr>
              <w:sz w:val="22"/>
              <w:szCs w:val="22"/>
            </w:rPr>
            <w:t xml:space="preserve">, the definition </w:t>
          </w:r>
          <w:r w:rsidR="005E3255">
            <w:rPr>
              <w:sz w:val="22"/>
              <w:szCs w:val="22"/>
            </w:rPr>
            <w:t>for</w:t>
          </w:r>
          <w:r>
            <w:rPr>
              <w:sz w:val="22"/>
              <w:szCs w:val="22"/>
            </w:rPr>
            <w:t xml:space="preserve"> “Wellhead Protection Structure</w:t>
          </w:r>
          <w:r w:rsidR="005E3255">
            <w:rPr>
              <w:sz w:val="22"/>
              <w:szCs w:val="22"/>
            </w:rPr>
            <w:t>,</w:t>
          </w:r>
          <w:r>
            <w:rPr>
              <w:sz w:val="22"/>
              <w:szCs w:val="22"/>
            </w:rPr>
            <w:t>”</w:t>
          </w:r>
          <w:r w:rsidR="005E3255">
            <w:rPr>
              <w:sz w:val="22"/>
              <w:szCs w:val="22"/>
            </w:rPr>
            <w:t xml:space="preserve"> found in the CAFO GP,</w:t>
          </w:r>
          <w:r>
            <w:rPr>
              <w:sz w:val="22"/>
              <w:szCs w:val="22"/>
            </w:rPr>
            <w:t xml:space="preserve"> was revised by deleting </w:t>
          </w:r>
          <w:r w:rsidR="00F63FFF" w:rsidRPr="004456ED">
            <w:rPr>
              <w:sz w:val="22"/>
              <w:szCs w:val="22"/>
            </w:rPr>
            <w:t>“or manure</w:t>
          </w:r>
          <w:r>
            <w:rPr>
              <w:sz w:val="22"/>
              <w:szCs w:val="22"/>
            </w:rPr>
            <w:t>.</w:t>
          </w:r>
          <w:r w:rsidR="00F63FFF" w:rsidRPr="004456ED">
            <w:rPr>
              <w:sz w:val="22"/>
              <w:szCs w:val="22"/>
            </w:rPr>
            <w:t>”</w:t>
          </w:r>
          <w:r w:rsidR="00324425" w:rsidRPr="004456ED">
            <w:rPr>
              <w:sz w:val="22"/>
              <w:szCs w:val="22"/>
            </w:rPr>
            <w:t xml:space="preserve"> The revised definition reads as follows:</w:t>
          </w:r>
        </w:p>
        <w:p w14:paraId="43F87BA3" w14:textId="77777777" w:rsidR="006C764A" w:rsidRPr="004456ED" w:rsidRDefault="00E2418B" w:rsidP="000F1D34">
          <w:pPr>
            <w:pStyle w:val="BodyText"/>
            <w:spacing w:before="120"/>
            <w:ind w:left="540"/>
            <w:rPr>
              <w:sz w:val="22"/>
              <w:szCs w:val="22"/>
            </w:rPr>
          </w:pPr>
          <w:r>
            <w:rPr>
              <w:sz w:val="22"/>
              <w:szCs w:val="22"/>
            </w:rPr>
            <w:t>“</w:t>
          </w:r>
          <w:r w:rsidR="006C764A" w:rsidRPr="004456ED">
            <w:rPr>
              <w:sz w:val="22"/>
              <w:szCs w:val="22"/>
            </w:rPr>
            <w:t>A structure used to protect the wellhead from irrigation wastewater. It may include a hard-walled, possibly framed, structure with a roof or otherwise covered. Structure should be secured to the ground or wellhead to withstand the elements (e.g., wind or storms) and grazing livestock. Structure must be designed to avoid wastewater from contacting the wellhead. Structure may be constructed of plywood, corrugated or sheet metal, fiber glass, plastics, synthetics, or other materials, which are structurally capable for the intended purpose. Structure may be removable or hinged to allow servicing of well or well components.</w:t>
          </w:r>
          <w:r>
            <w:rPr>
              <w:sz w:val="22"/>
              <w:szCs w:val="22"/>
            </w:rPr>
            <w:t>”</w:t>
          </w:r>
        </w:p>
      </w:sdtContent>
    </w:sdt>
    <w:sdt>
      <w:sdtPr>
        <w:rPr>
          <w:b/>
          <w:caps/>
          <w:sz w:val="22"/>
          <w:szCs w:val="22"/>
          <w:u w:val="single"/>
        </w:rPr>
        <w:id w:val="-837457754"/>
        <w:lock w:val="sdtContentLocked"/>
        <w:placeholder>
          <w:docPart w:val="DefaultPlaceholder_-1854013440"/>
        </w:placeholder>
        <w:group/>
      </w:sdtPr>
      <w:sdtEndPr>
        <w:rPr>
          <w:b w:val="0"/>
          <w:caps w:val="0"/>
          <w:u w:val="none"/>
        </w:rPr>
      </w:sdtEndPr>
      <w:sdtContent>
        <w:p w14:paraId="2EAC01BE" w14:textId="77777777" w:rsidR="00E92B52" w:rsidRPr="00D42C07" w:rsidRDefault="00E92B52" w:rsidP="000F1D34">
          <w:pPr>
            <w:pStyle w:val="BodyText"/>
            <w:spacing w:before="120"/>
            <w:rPr>
              <w:b/>
              <w:caps/>
              <w:sz w:val="22"/>
              <w:szCs w:val="22"/>
              <w:u w:val="single"/>
            </w:rPr>
          </w:pPr>
          <w:r w:rsidRPr="00D42C07">
            <w:rPr>
              <w:b/>
              <w:caps/>
              <w:sz w:val="22"/>
              <w:szCs w:val="22"/>
              <w:u w:val="single"/>
            </w:rPr>
            <w:t xml:space="preserve">Comment </w:t>
          </w:r>
          <w:r w:rsidR="00F5747E" w:rsidRPr="00D42C07">
            <w:rPr>
              <w:b/>
              <w:caps/>
              <w:sz w:val="22"/>
              <w:szCs w:val="22"/>
              <w:u w:val="single"/>
            </w:rPr>
            <w:t>5</w:t>
          </w:r>
        </w:p>
        <w:p w14:paraId="17CBB496" w14:textId="77777777" w:rsidR="00E92B52" w:rsidRPr="004456ED" w:rsidRDefault="00782DE0" w:rsidP="001E12CD">
          <w:pPr>
            <w:pStyle w:val="BodyText"/>
            <w:spacing w:before="120"/>
            <w:rPr>
              <w:sz w:val="22"/>
              <w:szCs w:val="22"/>
            </w:rPr>
          </w:pPr>
          <w:r>
            <w:rPr>
              <w:sz w:val="22"/>
              <w:szCs w:val="22"/>
            </w:rPr>
            <w:t>Ben</w:t>
          </w:r>
          <w:r w:rsidR="00E92421">
            <w:rPr>
              <w:sz w:val="22"/>
              <w:szCs w:val="22"/>
            </w:rPr>
            <w:t xml:space="preserve"> Weinheimer, on behalf of the </w:t>
          </w:r>
          <w:r w:rsidR="00E92B52" w:rsidRPr="004456ED">
            <w:rPr>
              <w:sz w:val="22"/>
              <w:szCs w:val="22"/>
            </w:rPr>
            <w:t>CAFO Industry Groups</w:t>
          </w:r>
          <w:r w:rsidR="008C4CE1">
            <w:rPr>
              <w:sz w:val="22"/>
              <w:szCs w:val="22"/>
            </w:rPr>
            <w:t>,</w:t>
          </w:r>
          <w:r w:rsidR="00E92B52" w:rsidRPr="004456ED">
            <w:rPr>
              <w:sz w:val="22"/>
              <w:szCs w:val="22"/>
            </w:rPr>
            <w:t xml:space="preserve"> comment</w:t>
          </w:r>
          <w:r w:rsidR="00E92421">
            <w:rPr>
              <w:sz w:val="22"/>
              <w:szCs w:val="22"/>
            </w:rPr>
            <w:t>ed</w:t>
          </w:r>
          <w:r w:rsidR="00E92B52" w:rsidRPr="004456ED">
            <w:rPr>
              <w:sz w:val="22"/>
              <w:szCs w:val="22"/>
            </w:rPr>
            <w:t xml:space="preserve"> that Part III.A.</w:t>
          </w:r>
          <w:r w:rsidR="005E3255" w:rsidRPr="004456ED">
            <w:rPr>
              <w:sz w:val="22"/>
              <w:szCs w:val="22"/>
            </w:rPr>
            <w:t>16. (</w:t>
          </w:r>
          <w:r w:rsidR="00E92B52" w:rsidRPr="004456ED">
            <w:rPr>
              <w:sz w:val="22"/>
              <w:szCs w:val="22"/>
            </w:rPr>
            <w:t>b)(4)</w:t>
          </w:r>
          <w:r w:rsidR="00E92421">
            <w:rPr>
              <w:sz w:val="22"/>
              <w:szCs w:val="22"/>
            </w:rPr>
            <w:t xml:space="preserve"> of the </w:t>
          </w:r>
          <w:r w:rsidR="005E3255">
            <w:rPr>
              <w:sz w:val="22"/>
              <w:szCs w:val="22"/>
            </w:rPr>
            <w:t xml:space="preserve">CAFO </w:t>
          </w:r>
          <w:r w:rsidR="00E92421">
            <w:rPr>
              <w:sz w:val="22"/>
              <w:szCs w:val="22"/>
            </w:rPr>
            <w:t>GP</w:t>
          </w:r>
          <w:r w:rsidR="005E3255">
            <w:rPr>
              <w:sz w:val="22"/>
              <w:szCs w:val="22"/>
            </w:rPr>
            <w:t xml:space="preserve"> should</w:t>
          </w:r>
          <w:r w:rsidR="00E92B52" w:rsidRPr="004456ED">
            <w:rPr>
              <w:sz w:val="22"/>
              <w:szCs w:val="22"/>
            </w:rPr>
            <w:t xml:space="preserve"> be revised to clarify that only ground water </w:t>
          </w:r>
          <w:r w:rsidR="003262EF" w:rsidRPr="004456ED">
            <w:rPr>
              <w:sz w:val="22"/>
              <w:szCs w:val="22"/>
            </w:rPr>
            <w:t xml:space="preserve">monitoring plans </w:t>
          </w:r>
          <w:r w:rsidR="00E92B52" w:rsidRPr="004456ED">
            <w:rPr>
              <w:sz w:val="22"/>
              <w:szCs w:val="22"/>
            </w:rPr>
            <w:t>required by the Executive Director must be developed and certified by licensed Professional Engineer or licensed Professional Geoscientist</w:t>
          </w:r>
          <w:r w:rsidR="00417E18">
            <w:rPr>
              <w:sz w:val="22"/>
              <w:szCs w:val="22"/>
            </w:rPr>
            <w:t>.</w:t>
          </w:r>
          <w:r w:rsidR="005601E3">
            <w:rPr>
              <w:sz w:val="22"/>
              <w:szCs w:val="22"/>
            </w:rPr>
            <w:t xml:space="preserve"> They recommended adding “(ii)” to </w:t>
          </w:r>
          <w:r w:rsidR="005601E3" w:rsidRPr="004456ED">
            <w:rPr>
              <w:sz w:val="22"/>
              <w:szCs w:val="22"/>
            </w:rPr>
            <w:t>Part III.A.16(b)(1)</w:t>
          </w:r>
          <w:r w:rsidR="005601E3">
            <w:rPr>
              <w:sz w:val="22"/>
              <w:szCs w:val="22"/>
            </w:rPr>
            <w:t>.</w:t>
          </w:r>
        </w:p>
        <w:p w14:paraId="7CDB9ACE" w14:textId="77777777" w:rsidR="00E92B52" w:rsidRPr="00D42C07" w:rsidRDefault="00E92B52" w:rsidP="001E12CD">
          <w:pPr>
            <w:pStyle w:val="BodyText"/>
            <w:spacing w:before="120"/>
            <w:rPr>
              <w:b/>
              <w:caps/>
              <w:sz w:val="22"/>
              <w:szCs w:val="22"/>
              <w:u w:val="single"/>
            </w:rPr>
          </w:pPr>
          <w:r w:rsidRPr="00D42C07">
            <w:rPr>
              <w:b/>
              <w:caps/>
              <w:sz w:val="22"/>
              <w:szCs w:val="22"/>
              <w:u w:val="single"/>
            </w:rPr>
            <w:t xml:space="preserve">Response </w:t>
          </w:r>
          <w:r w:rsidR="00F5747E" w:rsidRPr="00D42C07">
            <w:rPr>
              <w:b/>
              <w:caps/>
              <w:sz w:val="22"/>
              <w:szCs w:val="22"/>
              <w:u w:val="single"/>
            </w:rPr>
            <w:t>5</w:t>
          </w:r>
        </w:p>
        <w:p w14:paraId="0FCED982" w14:textId="77777777" w:rsidR="00E92B52" w:rsidRPr="004456ED" w:rsidRDefault="00E92B52" w:rsidP="001E12CD">
          <w:pPr>
            <w:pStyle w:val="BodyText"/>
            <w:spacing w:before="120"/>
            <w:rPr>
              <w:sz w:val="22"/>
              <w:szCs w:val="22"/>
            </w:rPr>
          </w:pPr>
          <w:r w:rsidRPr="004456ED">
            <w:rPr>
              <w:sz w:val="22"/>
              <w:szCs w:val="22"/>
            </w:rPr>
            <w:t xml:space="preserve">In response to </w:t>
          </w:r>
          <w:r w:rsidR="00916A49" w:rsidRPr="004456ED">
            <w:rPr>
              <w:sz w:val="22"/>
              <w:szCs w:val="22"/>
            </w:rPr>
            <w:t>th</w:t>
          </w:r>
          <w:r w:rsidR="007A0889" w:rsidRPr="004456ED">
            <w:rPr>
              <w:sz w:val="22"/>
              <w:szCs w:val="22"/>
            </w:rPr>
            <w:t>is</w:t>
          </w:r>
          <w:r w:rsidR="00916A49" w:rsidRPr="004456ED">
            <w:rPr>
              <w:sz w:val="22"/>
              <w:szCs w:val="22"/>
            </w:rPr>
            <w:t xml:space="preserve"> </w:t>
          </w:r>
          <w:r w:rsidRPr="004456ED">
            <w:rPr>
              <w:sz w:val="22"/>
              <w:szCs w:val="22"/>
            </w:rPr>
            <w:t xml:space="preserve">comment, </w:t>
          </w:r>
          <w:r w:rsidR="00812657" w:rsidRPr="004456ED">
            <w:rPr>
              <w:sz w:val="22"/>
              <w:szCs w:val="22"/>
            </w:rPr>
            <w:t>“</w:t>
          </w:r>
          <w:r w:rsidRPr="004456ED">
            <w:rPr>
              <w:sz w:val="22"/>
              <w:szCs w:val="22"/>
            </w:rPr>
            <w:t>(ii)</w:t>
          </w:r>
          <w:r w:rsidR="00812657" w:rsidRPr="004456ED">
            <w:rPr>
              <w:sz w:val="22"/>
              <w:szCs w:val="22"/>
            </w:rPr>
            <w:t>”</w:t>
          </w:r>
          <w:r w:rsidRPr="004456ED">
            <w:rPr>
              <w:sz w:val="22"/>
              <w:szCs w:val="22"/>
            </w:rPr>
            <w:t xml:space="preserve"> was added to the</w:t>
          </w:r>
          <w:r w:rsidR="003007A4" w:rsidRPr="004456ED">
            <w:rPr>
              <w:sz w:val="22"/>
              <w:szCs w:val="22"/>
            </w:rPr>
            <w:t xml:space="preserve"> referenced section in </w:t>
          </w:r>
          <w:r w:rsidRPr="004456ED">
            <w:rPr>
              <w:sz w:val="22"/>
              <w:szCs w:val="22"/>
            </w:rPr>
            <w:t>Part III.A.16(b)(4) of the</w:t>
          </w:r>
          <w:r w:rsidR="005F04B1" w:rsidRPr="005F04B1">
            <w:rPr>
              <w:sz w:val="22"/>
              <w:szCs w:val="22"/>
            </w:rPr>
            <w:t xml:space="preserve"> </w:t>
          </w:r>
          <w:r w:rsidR="005F04B1">
            <w:rPr>
              <w:sz w:val="22"/>
              <w:szCs w:val="22"/>
            </w:rPr>
            <w:t>CAFO</w:t>
          </w:r>
          <w:r w:rsidRPr="004456ED">
            <w:rPr>
              <w:sz w:val="22"/>
              <w:szCs w:val="22"/>
            </w:rPr>
            <w:t xml:space="preserve"> GP. The section reads as follows:</w:t>
          </w:r>
        </w:p>
        <w:p w14:paraId="0D7B0FB2" w14:textId="77777777" w:rsidR="005753F9" w:rsidRPr="004456ED" w:rsidRDefault="005753F9" w:rsidP="000F1D34">
          <w:pPr>
            <w:pStyle w:val="BodyText"/>
            <w:spacing w:before="120"/>
            <w:ind w:left="540"/>
            <w:rPr>
              <w:rStyle w:val="CharacterStyle2"/>
              <w:sz w:val="22"/>
              <w:szCs w:val="22"/>
            </w:rPr>
          </w:pPr>
          <w:r>
            <w:rPr>
              <w:rStyle w:val="CharacterStyle2"/>
              <w:sz w:val="22"/>
              <w:szCs w:val="22"/>
            </w:rPr>
            <w:t>“</w:t>
          </w:r>
          <w:r w:rsidR="00E92B52" w:rsidRPr="004456ED">
            <w:rPr>
              <w:rStyle w:val="CharacterStyle2"/>
              <w:sz w:val="22"/>
              <w:szCs w:val="22"/>
            </w:rPr>
            <w:t xml:space="preserve">The groundwater monitoring plan required by </w:t>
          </w:r>
          <w:r w:rsidR="00E92B52" w:rsidRPr="004456ED">
            <w:rPr>
              <w:sz w:val="22"/>
              <w:szCs w:val="22"/>
            </w:rPr>
            <w:t>Part III.A.16(b)(1)</w:t>
          </w:r>
          <w:r w:rsidR="00E92B52" w:rsidRPr="004456ED">
            <w:rPr>
              <w:sz w:val="22"/>
              <w:szCs w:val="22"/>
              <w:u w:val="single"/>
            </w:rPr>
            <w:t>(ii)</w:t>
          </w:r>
          <w:r w:rsidR="00E92B52" w:rsidRPr="004456ED">
            <w:rPr>
              <w:rStyle w:val="CharacterStyle2"/>
              <w:sz w:val="22"/>
              <w:szCs w:val="22"/>
            </w:rPr>
            <w:t xml:space="preserve"> shall be developed and certified by a licensed Texas Professional Engineer or licensed Texas Professional Geoscientist.</w:t>
          </w:r>
          <w:r>
            <w:rPr>
              <w:rStyle w:val="CharacterStyle2"/>
              <w:sz w:val="22"/>
              <w:szCs w:val="22"/>
            </w:rPr>
            <w:t>”</w:t>
          </w:r>
        </w:p>
        <w:p w14:paraId="4515CD5F" w14:textId="77777777" w:rsidR="003C23B5" w:rsidRPr="00D42C07" w:rsidRDefault="003C23B5" w:rsidP="000F1D34">
          <w:pPr>
            <w:pStyle w:val="BodyText"/>
            <w:spacing w:before="120"/>
            <w:rPr>
              <w:b/>
              <w:caps/>
              <w:sz w:val="22"/>
              <w:szCs w:val="22"/>
              <w:u w:val="single"/>
            </w:rPr>
          </w:pPr>
          <w:r w:rsidRPr="00D42C07">
            <w:rPr>
              <w:b/>
              <w:caps/>
              <w:sz w:val="22"/>
              <w:szCs w:val="22"/>
              <w:u w:val="single"/>
            </w:rPr>
            <w:t>Comment 6</w:t>
          </w:r>
        </w:p>
        <w:p w14:paraId="707487B5" w14:textId="77777777" w:rsidR="00E03EAC" w:rsidRPr="004456ED" w:rsidRDefault="005E3255" w:rsidP="00EE4CE6">
          <w:pPr>
            <w:pStyle w:val="BodyText"/>
            <w:spacing w:before="120"/>
            <w:rPr>
              <w:sz w:val="22"/>
              <w:szCs w:val="22"/>
            </w:rPr>
          </w:pPr>
          <w:r>
            <w:rPr>
              <w:sz w:val="22"/>
              <w:szCs w:val="22"/>
            </w:rPr>
            <w:t>Andy</w:t>
          </w:r>
          <w:r w:rsidR="00E03EAC" w:rsidRPr="004456ED">
            <w:rPr>
              <w:sz w:val="22"/>
              <w:szCs w:val="22"/>
            </w:rPr>
            <w:t xml:space="preserve"> Rif</w:t>
          </w:r>
          <w:r w:rsidR="005842D6" w:rsidRPr="004456ED">
            <w:rPr>
              <w:sz w:val="22"/>
              <w:szCs w:val="22"/>
            </w:rPr>
            <w:t>f</w:t>
          </w:r>
          <w:r w:rsidR="00E03EAC" w:rsidRPr="004456ED">
            <w:rPr>
              <w:sz w:val="22"/>
              <w:szCs w:val="22"/>
            </w:rPr>
            <w:t>e comment</w:t>
          </w:r>
          <w:r>
            <w:rPr>
              <w:sz w:val="22"/>
              <w:szCs w:val="22"/>
            </w:rPr>
            <w:t>ed</w:t>
          </w:r>
          <w:r w:rsidR="00E03EAC" w:rsidRPr="004456ED">
            <w:rPr>
              <w:sz w:val="22"/>
              <w:szCs w:val="22"/>
            </w:rPr>
            <w:t xml:space="preserve"> that </w:t>
          </w:r>
          <w:r w:rsidR="00F73DBA">
            <w:rPr>
              <w:sz w:val="22"/>
              <w:szCs w:val="22"/>
            </w:rPr>
            <w:t xml:space="preserve">the CAFO GP does not </w:t>
          </w:r>
          <w:r w:rsidR="009A3B6D">
            <w:rPr>
              <w:sz w:val="22"/>
              <w:szCs w:val="22"/>
            </w:rPr>
            <w:t xml:space="preserve">provide adequate protections to water sources, particularly ground water in Texas. </w:t>
          </w:r>
          <w:r w:rsidR="009032AC">
            <w:rPr>
              <w:sz w:val="22"/>
              <w:szCs w:val="22"/>
            </w:rPr>
            <w:t xml:space="preserve">Mr. Riffe </w:t>
          </w:r>
          <w:r w:rsidR="009A3B6D">
            <w:rPr>
              <w:sz w:val="22"/>
              <w:szCs w:val="22"/>
            </w:rPr>
            <w:t>comment</w:t>
          </w:r>
          <w:r>
            <w:rPr>
              <w:sz w:val="22"/>
              <w:szCs w:val="22"/>
            </w:rPr>
            <w:t>ed</w:t>
          </w:r>
          <w:r w:rsidR="009A3B6D">
            <w:rPr>
              <w:sz w:val="22"/>
              <w:szCs w:val="22"/>
            </w:rPr>
            <w:t xml:space="preserve"> further that </w:t>
          </w:r>
          <w:r w:rsidR="00E03EAC" w:rsidRPr="004456ED">
            <w:rPr>
              <w:sz w:val="22"/>
              <w:szCs w:val="22"/>
            </w:rPr>
            <w:t>CAFO</w:t>
          </w:r>
          <w:r w:rsidR="00DD327F" w:rsidRPr="004456ED">
            <w:rPr>
              <w:sz w:val="22"/>
              <w:szCs w:val="22"/>
            </w:rPr>
            <w:t>s</w:t>
          </w:r>
          <w:r w:rsidR="00E03EAC" w:rsidRPr="004456ED">
            <w:rPr>
              <w:sz w:val="22"/>
              <w:szCs w:val="22"/>
            </w:rPr>
            <w:t xml:space="preserve"> pose </w:t>
          </w:r>
          <w:r w:rsidR="00DD327F" w:rsidRPr="004456ED">
            <w:rPr>
              <w:sz w:val="22"/>
              <w:szCs w:val="22"/>
            </w:rPr>
            <w:t>a threat to ground water resources in West Texas, and that the CAFO GP does not include stringent requirements to protect the water quality in the Ogallala Aquifer or include specific provisions to protect the Aquifer.</w:t>
          </w:r>
          <w:r w:rsidR="00DE1ABF">
            <w:rPr>
              <w:sz w:val="22"/>
              <w:szCs w:val="22"/>
            </w:rPr>
            <w:t xml:space="preserve"> He suggests the Ogallala Aquifer </w:t>
          </w:r>
          <w:r>
            <w:rPr>
              <w:sz w:val="22"/>
              <w:szCs w:val="22"/>
            </w:rPr>
            <w:t>be designated</w:t>
          </w:r>
          <w:r w:rsidR="00DE1ABF">
            <w:rPr>
              <w:sz w:val="22"/>
              <w:szCs w:val="22"/>
            </w:rPr>
            <w:t xml:space="preserve"> a sole source aquifer.</w:t>
          </w:r>
        </w:p>
        <w:p w14:paraId="41870E8F" w14:textId="77777777" w:rsidR="007366DE" w:rsidRDefault="009032AC" w:rsidP="00EE4CE6">
          <w:pPr>
            <w:pStyle w:val="BodyText"/>
            <w:spacing w:before="120"/>
            <w:rPr>
              <w:sz w:val="22"/>
              <w:szCs w:val="22"/>
            </w:rPr>
          </w:pPr>
          <w:r>
            <w:rPr>
              <w:sz w:val="22"/>
              <w:szCs w:val="22"/>
            </w:rPr>
            <w:t xml:space="preserve">Mr. </w:t>
          </w:r>
          <w:r w:rsidR="009A3B6D">
            <w:rPr>
              <w:sz w:val="22"/>
              <w:szCs w:val="22"/>
            </w:rPr>
            <w:t xml:space="preserve">Riffe </w:t>
          </w:r>
          <w:r w:rsidR="005E3255">
            <w:rPr>
              <w:sz w:val="22"/>
              <w:szCs w:val="22"/>
            </w:rPr>
            <w:t xml:space="preserve">commented that he </w:t>
          </w:r>
          <w:r w:rsidR="009A3B6D">
            <w:rPr>
              <w:sz w:val="22"/>
              <w:szCs w:val="22"/>
            </w:rPr>
            <w:t xml:space="preserve">believes that the CAFO GP is a one size fits all permit and </w:t>
          </w:r>
          <w:r w:rsidR="005E3255">
            <w:rPr>
              <w:sz w:val="22"/>
              <w:szCs w:val="22"/>
            </w:rPr>
            <w:t xml:space="preserve">that it </w:t>
          </w:r>
          <w:r w:rsidR="009A3B6D">
            <w:rPr>
              <w:sz w:val="22"/>
              <w:szCs w:val="22"/>
            </w:rPr>
            <w:t xml:space="preserve">should not be applicable to CAFOs that are </w:t>
          </w:r>
          <w:r w:rsidR="005E3255">
            <w:rPr>
              <w:sz w:val="22"/>
              <w:szCs w:val="22"/>
            </w:rPr>
            <w:t>around</w:t>
          </w:r>
          <w:r w:rsidR="009A3B6D">
            <w:rPr>
              <w:sz w:val="22"/>
              <w:szCs w:val="22"/>
            </w:rPr>
            <w:t xml:space="preserve"> the Ogallala </w:t>
          </w:r>
          <w:r w:rsidR="005E3255">
            <w:rPr>
              <w:sz w:val="22"/>
              <w:szCs w:val="22"/>
            </w:rPr>
            <w:t>Aquifer.</w:t>
          </w:r>
          <w:r w:rsidR="00E93535">
            <w:rPr>
              <w:sz w:val="22"/>
              <w:szCs w:val="22"/>
            </w:rPr>
            <w:t xml:space="preserve"> Instead, as </w:t>
          </w:r>
          <w:r w:rsidR="005E3255">
            <w:rPr>
              <w:sz w:val="22"/>
              <w:szCs w:val="22"/>
            </w:rPr>
            <w:t>Mr. Riffe co</w:t>
          </w:r>
          <w:r w:rsidR="00E93535">
            <w:rPr>
              <w:sz w:val="22"/>
              <w:szCs w:val="22"/>
            </w:rPr>
            <w:t xml:space="preserve">mmented, CAFOs around the Ogallala Aquifer should be required to obtain an </w:t>
          </w:r>
          <w:r w:rsidR="007366DE" w:rsidRPr="004456ED">
            <w:rPr>
              <w:sz w:val="22"/>
              <w:szCs w:val="22"/>
            </w:rPr>
            <w:lastRenderedPageBreak/>
            <w:t>individual permit</w:t>
          </w:r>
          <w:r w:rsidR="00E93535">
            <w:rPr>
              <w:sz w:val="22"/>
              <w:szCs w:val="22"/>
            </w:rPr>
            <w:t>.</w:t>
          </w:r>
          <w:r w:rsidR="007366DE" w:rsidRPr="004456ED">
            <w:rPr>
              <w:sz w:val="22"/>
              <w:szCs w:val="22"/>
            </w:rPr>
            <w:t xml:space="preserve"> </w:t>
          </w:r>
          <w:r>
            <w:rPr>
              <w:sz w:val="22"/>
              <w:szCs w:val="22"/>
            </w:rPr>
            <w:t xml:space="preserve">Mr. Riffe </w:t>
          </w:r>
          <w:r w:rsidR="00CC0858">
            <w:rPr>
              <w:sz w:val="22"/>
              <w:szCs w:val="22"/>
            </w:rPr>
            <w:t>stated that an individual permit requires more detailed, site specific review and more detailed regulatory requirements to protect the water resources.</w:t>
          </w:r>
        </w:p>
        <w:p w14:paraId="75465BB0" w14:textId="77777777" w:rsidR="00B31356" w:rsidRDefault="009032AC" w:rsidP="00EE4CE6">
          <w:pPr>
            <w:pStyle w:val="BodyText"/>
            <w:spacing w:before="120"/>
            <w:rPr>
              <w:sz w:val="22"/>
              <w:szCs w:val="22"/>
            </w:rPr>
          </w:pPr>
          <w:r>
            <w:rPr>
              <w:sz w:val="22"/>
              <w:szCs w:val="22"/>
            </w:rPr>
            <w:t xml:space="preserve">Mr. </w:t>
          </w:r>
          <w:r w:rsidR="00B31356">
            <w:rPr>
              <w:sz w:val="22"/>
              <w:szCs w:val="22"/>
            </w:rPr>
            <w:t>Riffe comment</w:t>
          </w:r>
          <w:r w:rsidR="00E93535">
            <w:rPr>
              <w:sz w:val="22"/>
              <w:szCs w:val="22"/>
            </w:rPr>
            <w:t>ed</w:t>
          </w:r>
          <w:r w:rsidR="00B31356">
            <w:rPr>
              <w:sz w:val="22"/>
              <w:szCs w:val="22"/>
            </w:rPr>
            <w:t xml:space="preserve"> further that if an individual permit </w:t>
          </w:r>
          <w:r w:rsidR="00E93535">
            <w:rPr>
              <w:sz w:val="22"/>
              <w:szCs w:val="22"/>
            </w:rPr>
            <w:t xml:space="preserve">is </w:t>
          </w:r>
          <w:r w:rsidR="00B31356">
            <w:rPr>
              <w:sz w:val="22"/>
              <w:szCs w:val="22"/>
            </w:rPr>
            <w:t xml:space="preserve">not required, then a </w:t>
          </w:r>
          <w:r w:rsidR="00B3192F">
            <w:rPr>
              <w:sz w:val="22"/>
              <w:szCs w:val="22"/>
            </w:rPr>
            <w:t>well-designed and TCEQ approved</w:t>
          </w:r>
          <w:r w:rsidR="00B31356">
            <w:rPr>
              <w:sz w:val="22"/>
              <w:szCs w:val="22"/>
            </w:rPr>
            <w:t xml:space="preserve"> groundwater monitoring </w:t>
          </w:r>
          <w:r w:rsidR="00B3192F">
            <w:rPr>
              <w:sz w:val="22"/>
              <w:szCs w:val="22"/>
            </w:rPr>
            <w:t xml:space="preserve">system </w:t>
          </w:r>
          <w:r w:rsidR="00B31356">
            <w:rPr>
              <w:sz w:val="22"/>
              <w:szCs w:val="22"/>
            </w:rPr>
            <w:t xml:space="preserve">should be required for any CAFO </w:t>
          </w:r>
          <w:r w:rsidR="00B3192F">
            <w:rPr>
              <w:sz w:val="22"/>
              <w:szCs w:val="22"/>
            </w:rPr>
            <w:t xml:space="preserve">that is or will be located </w:t>
          </w:r>
          <w:r w:rsidR="00B31356">
            <w:rPr>
              <w:sz w:val="22"/>
              <w:szCs w:val="22"/>
            </w:rPr>
            <w:t>in the area of the Ogallala Aquifer.</w:t>
          </w:r>
        </w:p>
        <w:p w14:paraId="273863AD" w14:textId="77777777" w:rsidR="003C23B5" w:rsidRPr="00D42C07" w:rsidRDefault="003C23B5" w:rsidP="00EE4CE6">
          <w:pPr>
            <w:pStyle w:val="BodyText"/>
            <w:spacing w:before="120"/>
            <w:rPr>
              <w:b/>
              <w:caps/>
              <w:sz w:val="22"/>
              <w:szCs w:val="22"/>
              <w:u w:val="single"/>
            </w:rPr>
          </w:pPr>
          <w:r w:rsidRPr="00D42C07">
            <w:rPr>
              <w:b/>
              <w:caps/>
              <w:sz w:val="22"/>
              <w:szCs w:val="22"/>
              <w:u w:val="single"/>
            </w:rPr>
            <w:t>Response 6</w:t>
          </w:r>
        </w:p>
        <w:p w14:paraId="3954BDB0" w14:textId="77777777" w:rsidR="00A05AC4" w:rsidRDefault="00A05AC4" w:rsidP="00A05AC4">
          <w:pPr>
            <w:pStyle w:val="BodyText"/>
            <w:spacing w:before="120"/>
            <w:rPr>
              <w:sz w:val="22"/>
              <w:szCs w:val="22"/>
            </w:rPr>
          </w:pPr>
          <w:r>
            <w:rPr>
              <w:sz w:val="22"/>
              <w:szCs w:val="22"/>
            </w:rPr>
            <w:t>Some of the concerns</w:t>
          </w:r>
          <w:r w:rsidRPr="00B96F0D">
            <w:rPr>
              <w:sz w:val="22"/>
              <w:szCs w:val="22"/>
            </w:rPr>
            <w:t xml:space="preserve"> raised by Mr. </w:t>
          </w:r>
          <w:r>
            <w:rPr>
              <w:sz w:val="22"/>
              <w:szCs w:val="22"/>
            </w:rPr>
            <w:t>Riffe are currently addressed by the CAFO GP provisions described below or are concerns that the TCEQ simply does not have the authority to</w:t>
          </w:r>
          <w:r w:rsidRPr="004456ED">
            <w:rPr>
              <w:sz w:val="22"/>
              <w:szCs w:val="22"/>
            </w:rPr>
            <w:t xml:space="preserve"> address in the permitting process.</w:t>
          </w:r>
          <w:r>
            <w:rPr>
              <w:sz w:val="22"/>
              <w:szCs w:val="22"/>
            </w:rPr>
            <w:t xml:space="preserve"> Therefore, no changes to the CAFO GP were made in response to Mr. Riffe’s comments. </w:t>
          </w:r>
          <w:r w:rsidRPr="004456ED">
            <w:rPr>
              <w:sz w:val="22"/>
              <w:szCs w:val="22"/>
            </w:rPr>
            <w:t xml:space="preserve"> </w:t>
          </w:r>
        </w:p>
        <w:p w14:paraId="02FDDA9D" w14:textId="77777777" w:rsidR="00F5182A" w:rsidRPr="004456ED" w:rsidRDefault="00F5182A" w:rsidP="001C6656">
          <w:pPr>
            <w:pStyle w:val="BodyText"/>
            <w:spacing w:before="120" w:after="240"/>
            <w:rPr>
              <w:sz w:val="22"/>
              <w:szCs w:val="22"/>
            </w:rPr>
          </w:pPr>
          <w:r w:rsidRPr="004456ED">
            <w:rPr>
              <w:sz w:val="22"/>
              <w:szCs w:val="22"/>
            </w:rPr>
            <w:t xml:space="preserve">Designating the Ogallala Aquifer as a Sole Source Aquifer for Drinking Water is outside the scope of the </w:t>
          </w:r>
          <w:r w:rsidR="005F04B1">
            <w:rPr>
              <w:sz w:val="22"/>
              <w:szCs w:val="22"/>
            </w:rPr>
            <w:t xml:space="preserve">CAFO </w:t>
          </w:r>
          <w:r w:rsidRPr="004456ED">
            <w:rPr>
              <w:sz w:val="22"/>
              <w:szCs w:val="22"/>
            </w:rPr>
            <w:t>GP</w:t>
          </w:r>
          <w:r w:rsidR="001C6656" w:rsidRPr="004456ED">
            <w:rPr>
              <w:sz w:val="22"/>
              <w:szCs w:val="22"/>
            </w:rPr>
            <w:t xml:space="preserve"> and the authority of TCEQ. </w:t>
          </w:r>
          <w:r w:rsidR="00DE1ABF">
            <w:rPr>
              <w:sz w:val="22"/>
              <w:szCs w:val="22"/>
            </w:rPr>
            <w:t xml:space="preserve">The authority to designate aquifers as sole source resides with the U.S. Environmental Protection Agency (EPA). </w:t>
          </w:r>
          <w:r w:rsidR="001C6656" w:rsidRPr="004456ED">
            <w:rPr>
              <w:sz w:val="22"/>
              <w:szCs w:val="22"/>
            </w:rPr>
            <w:t xml:space="preserve">Please visit the following web address for details: </w:t>
          </w:r>
          <w:hyperlink r:id="rId11" w:history="1">
            <w:r w:rsidR="001C6656" w:rsidRPr="004456ED">
              <w:rPr>
                <w:rStyle w:val="Hyperlink"/>
                <w:sz w:val="22"/>
                <w:szCs w:val="22"/>
              </w:rPr>
              <w:t>https://www.epa.gov/dwssa/guidance-petitioning-sole-source-aquifer-ssa-designation</w:t>
            </w:r>
          </w:hyperlink>
          <w:r w:rsidR="001C6656" w:rsidRPr="004456ED">
            <w:rPr>
              <w:sz w:val="22"/>
              <w:szCs w:val="22"/>
            </w:rPr>
            <w:t>.</w:t>
          </w:r>
        </w:p>
        <w:p w14:paraId="5FB86C0F" w14:textId="77777777" w:rsidR="00F5182A" w:rsidRPr="004456ED" w:rsidRDefault="00F5182A" w:rsidP="00F5182A">
          <w:pPr>
            <w:pStyle w:val="BodyText"/>
            <w:spacing w:before="120"/>
            <w:rPr>
              <w:sz w:val="22"/>
              <w:szCs w:val="22"/>
            </w:rPr>
          </w:pPr>
          <w:r w:rsidRPr="004456ED">
            <w:rPr>
              <w:sz w:val="22"/>
              <w:szCs w:val="22"/>
            </w:rPr>
            <w:t>The CAFO GP is protective of both surface and ground water resources.</w:t>
          </w:r>
        </w:p>
        <w:p w14:paraId="4116700A" w14:textId="77777777" w:rsidR="00375F13" w:rsidRPr="004456ED" w:rsidRDefault="00375F13" w:rsidP="00EE4CE6">
          <w:pPr>
            <w:pStyle w:val="BodyText"/>
            <w:spacing w:before="120"/>
            <w:rPr>
              <w:sz w:val="22"/>
              <w:szCs w:val="22"/>
            </w:rPr>
          </w:pPr>
          <w:r w:rsidRPr="004456ED">
            <w:rPr>
              <w:sz w:val="22"/>
              <w:szCs w:val="22"/>
            </w:rPr>
            <w:t xml:space="preserve">Part III.A.3 of the </w:t>
          </w:r>
          <w:r w:rsidR="005F04B1">
            <w:rPr>
              <w:sz w:val="22"/>
              <w:szCs w:val="22"/>
            </w:rPr>
            <w:t xml:space="preserve">CAFO </w:t>
          </w:r>
          <w:r w:rsidRPr="004456ED">
            <w:rPr>
              <w:sz w:val="22"/>
              <w:szCs w:val="22"/>
            </w:rPr>
            <w:t>GP includes the requirements for recharge features.</w:t>
          </w:r>
        </w:p>
        <w:p w14:paraId="14D51264" w14:textId="77777777" w:rsidR="00375F13" w:rsidRPr="004456ED" w:rsidRDefault="00375F13" w:rsidP="00C5114A">
          <w:pPr>
            <w:pStyle w:val="BodyText"/>
            <w:spacing w:before="120"/>
            <w:ind w:left="540" w:hanging="540"/>
            <w:rPr>
              <w:sz w:val="22"/>
              <w:szCs w:val="22"/>
            </w:rPr>
          </w:pPr>
          <w:r w:rsidRPr="004456ED">
            <w:rPr>
              <w:sz w:val="22"/>
              <w:szCs w:val="22"/>
            </w:rPr>
            <w:t>3.</w:t>
          </w:r>
          <w:r w:rsidRPr="004456ED">
            <w:rPr>
              <w:sz w:val="22"/>
              <w:szCs w:val="22"/>
            </w:rPr>
            <w:tab/>
            <w:t>Recharge Feature Certification</w:t>
          </w:r>
        </w:p>
        <w:p w14:paraId="4D2F493D" w14:textId="77777777" w:rsidR="00375F13" w:rsidRPr="004456ED" w:rsidRDefault="00375F13" w:rsidP="001D7567">
          <w:pPr>
            <w:pStyle w:val="BodyText"/>
            <w:spacing w:before="120"/>
            <w:ind w:left="1080" w:hanging="540"/>
            <w:rPr>
              <w:sz w:val="22"/>
              <w:szCs w:val="22"/>
            </w:rPr>
          </w:pPr>
          <w:r w:rsidRPr="004456ED">
            <w:rPr>
              <w:sz w:val="22"/>
              <w:szCs w:val="22"/>
            </w:rPr>
            <w:t>(a)</w:t>
          </w:r>
          <w:r w:rsidRPr="004456ED">
            <w:rPr>
              <w:sz w:val="22"/>
              <w:szCs w:val="22"/>
            </w:rPr>
            <w:tab/>
            <w:t>The permittee shall have a recharge feature certification developed in accordance with the Executive Director's guidance, RG-433 “Guidelines for Identifying and Protecting Aquifer Recharge Features.” Use of the forms provided in RG-433 is optional. The certification must be signed and sealed by a licensed Texas Professional Engineer, or a licensed Texas Professional Geoscientist, documenting the absence or presence of any natural or artificial recharge features identified on any tracts of land owned, operated, controlled, rented, or leased by the permittee and to be used as a part of a CAFO or LMU.</w:t>
          </w:r>
        </w:p>
        <w:p w14:paraId="2A198ADE" w14:textId="77777777" w:rsidR="00375F13" w:rsidRPr="004456ED" w:rsidRDefault="00375F13" w:rsidP="001D7567">
          <w:pPr>
            <w:pStyle w:val="BodyText"/>
            <w:tabs>
              <w:tab w:val="left" w:pos="1080"/>
            </w:tabs>
            <w:spacing w:before="120"/>
            <w:ind w:left="1080" w:hanging="540"/>
            <w:rPr>
              <w:sz w:val="22"/>
              <w:szCs w:val="22"/>
            </w:rPr>
          </w:pPr>
          <w:r w:rsidRPr="004456ED">
            <w:rPr>
              <w:sz w:val="22"/>
              <w:szCs w:val="22"/>
            </w:rPr>
            <w:t>(b)</w:t>
          </w:r>
          <w:r w:rsidRPr="004456ED">
            <w:rPr>
              <w:sz w:val="22"/>
              <w:szCs w:val="22"/>
            </w:rPr>
            <w:tab/>
            <w:t>If the recharge feature certification identifies the presence of recharge features, the applicant shall have protective measures developed, signed and sealed by a licensed Texas Professional Engineer, or licensed Texas Professional Geoscientist, as appropriate and in conformance with the Texas Engineering Practices Act and the Texas Geoscience Practice Act and the licensing and registration boards under these acts. The protective measures must prevent impacts to an aquifer from any recharge features present. The protective measures must include at least one of the following:</w:t>
          </w:r>
        </w:p>
        <w:p w14:paraId="30F13B18" w14:textId="77777777" w:rsidR="00375F13" w:rsidRPr="004456ED" w:rsidRDefault="00375F13" w:rsidP="00466BFC">
          <w:pPr>
            <w:pStyle w:val="BodyText"/>
            <w:spacing w:before="120"/>
            <w:ind w:left="1620" w:hanging="540"/>
            <w:rPr>
              <w:sz w:val="22"/>
              <w:szCs w:val="22"/>
            </w:rPr>
          </w:pPr>
          <w:r w:rsidRPr="004456ED">
            <w:rPr>
              <w:sz w:val="22"/>
              <w:szCs w:val="22"/>
            </w:rPr>
            <w:t>(1)</w:t>
          </w:r>
          <w:r w:rsidRPr="004456ED">
            <w:rPr>
              <w:sz w:val="22"/>
              <w:szCs w:val="22"/>
            </w:rPr>
            <w:tab/>
            <w:t>measures to protect each located recharge feature, such as impervious cover, berms, buffer zones, or other equivalent protective measures; or</w:t>
          </w:r>
        </w:p>
        <w:p w14:paraId="3174D665" w14:textId="77777777" w:rsidR="00375F13" w:rsidRPr="004456ED" w:rsidRDefault="00375F13" w:rsidP="00466BFC">
          <w:pPr>
            <w:pStyle w:val="BodyText"/>
            <w:spacing w:before="120"/>
            <w:ind w:left="1620" w:hanging="540"/>
            <w:rPr>
              <w:sz w:val="22"/>
              <w:szCs w:val="22"/>
            </w:rPr>
          </w:pPr>
          <w:r w:rsidRPr="004456ED">
            <w:rPr>
              <w:sz w:val="22"/>
              <w:szCs w:val="22"/>
            </w:rPr>
            <w:t>(2)</w:t>
          </w:r>
          <w:r w:rsidRPr="004456ED">
            <w:rPr>
              <w:sz w:val="22"/>
              <w:szCs w:val="22"/>
            </w:rPr>
            <w:tab/>
            <w:t>a detailed groundwater monitoring plan, in accordance with Part III.A.16(b); or</w:t>
          </w:r>
        </w:p>
        <w:p w14:paraId="6A51AFE3" w14:textId="77777777" w:rsidR="00375F13" w:rsidRPr="004456ED" w:rsidRDefault="00375F13" w:rsidP="00466BFC">
          <w:pPr>
            <w:pStyle w:val="BodyText"/>
            <w:spacing w:before="120"/>
            <w:ind w:left="1620" w:hanging="540"/>
            <w:rPr>
              <w:sz w:val="22"/>
              <w:szCs w:val="22"/>
            </w:rPr>
          </w:pPr>
          <w:r w:rsidRPr="004456ED">
            <w:rPr>
              <w:sz w:val="22"/>
              <w:szCs w:val="22"/>
            </w:rPr>
            <w:t>(3)</w:t>
          </w:r>
          <w:r w:rsidRPr="004456ED">
            <w:rPr>
              <w:sz w:val="22"/>
              <w:szCs w:val="22"/>
            </w:rPr>
            <w:tab/>
            <w:t>provisions for any other similar method or approach demonstrated by the applicant to be protective of any associated recharge feature and approved by the Executive Director.</w:t>
          </w:r>
        </w:p>
        <w:p w14:paraId="5AD59771" w14:textId="77777777" w:rsidR="00375F13" w:rsidRPr="004456ED" w:rsidRDefault="00375F13" w:rsidP="00466BFC">
          <w:pPr>
            <w:pStyle w:val="BodyText"/>
            <w:spacing w:before="120"/>
            <w:ind w:left="1080" w:hanging="540"/>
            <w:rPr>
              <w:sz w:val="22"/>
              <w:szCs w:val="22"/>
            </w:rPr>
          </w:pPr>
          <w:r w:rsidRPr="004456ED">
            <w:rPr>
              <w:sz w:val="22"/>
              <w:szCs w:val="22"/>
            </w:rPr>
            <w:t>(c)</w:t>
          </w:r>
          <w:r w:rsidRPr="004456ED">
            <w:rPr>
              <w:sz w:val="22"/>
              <w:szCs w:val="22"/>
            </w:rPr>
            <w:tab/>
            <w:t>The permittee must implement the protective measures.</w:t>
          </w:r>
        </w:p>
        <w:p w14:paraId="4F1FAD2E" w14:textId="77777777" w:rsidR="008400D6" w:rsidRPr="004456ED" w:rsidRDefault="00375F13" w:rsidP="00EE4CE6">
          <w:pPr>
            <w:pStyle w:val="BodyText"/>
            <w:spacing w:before="120"/>
            <w:rPr>
              <w:sz w:val="22"/>
              <w:szCs w:val="22"/>
            </w:rPr>
          </w:pPr>
          <w:r w:rsidRPr="004456ED">
            <w:rPr>
              <w:sz w:val="22"/>
              <w:szCs w:val="22"/>
            </w:rPr>
            <w:t xml:space="preserve">In addition, </w:t>
          </w:r>
          <w:r w:rsidR="008400D6" w:rsidRPr="004456ED">
            <w:rPr>
              <w:sz w:val="22"/>
              <w:szCs w:val="22"/>
            </w:rPr>
            <w:t>Part III.A.4(c) includes the well protection requirements:</w:t>
          </w:r>
        </w:p>
        <w:p w14:paraId="0D43A378" w14:textId="77777777" w:rsidR="008400D6" w:rsidRPr="004456ED" w:rsidRDefault="008400D6" w:rsidP="00466BFC">
          <w:pPr>
            <w:pStyle w:val="BodyText"/>
            <w:spacing w:before="120"/>
            <w:ind w:left="1080" w:hanging="540"/>
            <w:rPr>
              <w:sz w:val="22"/>
              <w:szCs w:val="22"/>
            </w:rPr>
          </w:pPr>
          <w:r w:rsidRPr="004456ED">
            <w:rPr>
              <w:sz w:val="22"/>
              <w:szCs w:val="22"/>
            </w:rPr>
            <w:lastRenderedPageBreak/>
            <w:t>(c)</w:t>
          </w:r>
          <w:r w:rsidRPr="004456ED">
            <w:rPr>
              <w:sz w:val="22"/>
              <w:szCs w:val="22"/>
            </w:rPr>
            <w:tab/>
            <w:t>Well Protection Requirements</w:t>
          </w:r>
        </w:p>
        <w:p w14:paraId="76E2D954" w14:textId="77777777" w:rsidR="008400D6" w:rsidRPr="004456ED" w:rsidRDefault="008400D6" w:rsidP="00466BFC">
          <w:pPr>
            <w:pStyle w:val="BodyText"/>
            <w:spacing w:before="120"/>
            <w:ind w:left="1620" w:hanging="540"/>
            <w:rPr>
              <w:sz w:val="22"/>
              <w:szCs w:val="22"/>
            </w:rPr>
          </w:pPr>
          <w:r w:rsidRPr="004456ED">
            <w:rPr>
              <w:sz w:val="22"/>
              <w:szCs w:val="22"/>
            </w:rPr>
            <w:t>(1)</w:t>
          </w:r>
          <w:r w:rsidRPr="004456ED">
            <w:rPr>
              <w:sz w:val="22"/>
              <w:szCs w:val="22"/>
            </w:rPr>
            <w:tab/>
            <w:t>The permittee must not locate or operate RCSs, holding pens, or LMUs within the following buffer zones except in accordance with paragraph (2) in this section:</w:t>
          </w:r>
        </w:p>
        <w:p w14:paraId="77B86831" w14:textId="77777777" w:rsidR="008400D6" w:rsidRPr="004456ED" w:rsidRDefault="008400D6" w:rsidP="00466BFC">
          <w:pPr>
            <w:pStyle w:val="BodyText"/>
            <w:spacing w:before="120"/>
            <w:ind w:left="2160" w:hanging="540"/>
            <w:rPr>
              <w:sz w:val="22"/>
              <w:szCs w:val="22"/>
            </w:rPr>
          </w:pPr>
          <w:r w:rsidRPr="004456ED">
            <w:rPr>
              <w:sz w:val="22"/>
              <w:szCs w:val="22"/>
            </w:rPr>
            <w:t>(i)</w:t>
          </w:r>
          <w:r w:rsidRPr="004456ED">
            <w:rPr>
              <w:sz w:val="22"/>
              <w:szCs w:val="22"/>
            </w:rPr>
            <w:tab/>
            <w:t>public water supply wells - 500 feet;</w:t>
          </w:r>
        </w:p>
        <w:p w14:paraId="78822997" w14:textId="77777777" w:rsidR="008400D6" w:rsidRPr="004456ED" w:rsidRDefault="008400D6" w:rsidP="00466BFC">
          <w:pPr>
            <w:pStyle w:val="BodyText"/>
            <w:spacing w:before="120"/>
            <w:ind w:left="2160" w:hanging="540"/>
            <w:rPr>
              <w:sz w:val="22"/>
              <w:szCs w:val="22"/>
            </w:rPr>
          </w:pPr>
          <w:r w:rsidRPr="004456ED">
            <w:rPr>
              <w:sz w:val="22"/>
              <w:szCs w:val="22"/>
            </w:rPr>
            <w:t>(ii)</w:t>
          </w:r>
          <w:r w:rsidRPr="004456ED">
            <w:rPr>
              <w:sz w:val="22"/>
              <w:szCs w:val="22"/>
            </w:rPr>
            <w:tab/>
            <w:t>wells used exclusively for private water supply - 150 feet; or</w:t>
          </w:r>
        </w:p>
        <w:p w14:paraId="3482878F" w14:textId="77777777" w:rsidR="008400D6" w:rsidRPr="004456ED" w:rsidRDefault="008400D6" w:rsidP="00466BFC">
          <w:pPr>
            <w:pStyle w:val="BodyText"/>
            <w:spacing w:before="120"/>
            <w:ind w:left="2160" w:hanging="540"/>
            <w:rPr>
              <w:sz w:val="22"/>
              <w:szCs w:val="22"/>
            </w:rPr>
          </w:pPr>
          <w:r w:rsidRPr="004456ED">
            <w:rPr>
              <w:sz w:val="22"/>
              <w:szCs w:val="22"/>
            </w:rPr>
            <w:t>(iii)</w:t>
          </w:r>
          <w:r w:rsidRPr="004456ED">
            <w:rPr>
              <w:sz w:val="22"/>
              <w:szCs w:val="22"/>
            </w:rPr>
            <w:tab/>
            <w:t>wells used exclusively for agriculture irrigation - 100 feet.</w:t>
          </w:r>
        </w:p>
        <w:p w14:paraId="0E973C9D" w14:textId="77777777" w:rsidR="008400D6" w:rsidRPr="004456ED" w:rsidRDefault="008400D6" w:rsidP="00466BFC">
          <w:pPr>
            <w:pStyle w:val="BodyText"/>
            <w:spacing w:before="120"/>
            <w:ind w:left="1620" w:hanging="540"/>
            <w:rPr>
              <w:sz w:val="22"/>
              <w:szCs w:val="22"/>
            </w:rPr>
          </w:pPr>
          <w:r w:rsidRPr="004456ED">
            <w:rPr>
              <w:sz w:val="22"/>
              <w:szCs w:val="22"/>
            </w:rPr>
            <w:t>(2)</w:t>
          </w:r>
          <w:r w:rsidRPr="004456ED">
            <w:rPr>
              <w:sz w:val="22"/>
              <w:szCs w:val="22"/>
            </w:rPr>
            <w:tab/>
            <w:t>The permittee may continue the operation and use of any existing holding pens, LMUs and RCSs located within the required well buffer zones provided they are protected in accordance with the recharge feature evaluation and certification required in Part III.A.3.</w:t>
          </w:r>
        </w:p>
        <w:p w14:paraId="5AFD0755" w14:textId="77777777" w:rsidR="008400D6" w:rsidRPr="004456ED" w:rsidRDefault="008400D6" w:rsidP="00466BFC">
          <w:pPr>
            <w:pStyle w:val="BodyText"/>
            <w:spacing w:before="120"/>
            <w:ind w:left="2160" w:hanging="540"/>
            <w:rPr>
              <w:sz w:val="22"/>
              <w:szCs w:val="22"/>
            </w:rPr>
          </w:pPr>
          <w:r w:rsidRPr="004456ED">
            <w:rPr>
              <w:sz w:val="22"/>
              <w:szCs w:val="22"/>
            </w:rPr>
            <w:t>(i)</w:t>
          </w:r>
          <w:r w:rsidRPr="004456ED">
            <w:rPr>
              <w:sz w:val="22"/>
              <w:szCs w:val="22"/>
            </w:rPr>
            <w:tab/>
            <w:t>Wells drilled before July 20, 2004, and any replacement wells, must be protected in accordance with the recharge feature certification requirements in this general permit. The recharge feature certification serves as documentation authorizing variances to the buffer zone requirements for those wells. The recharge feature certification must be kept on site and made available to TCEQ personnel upon request. It is not necessary to submit a request for a variance to the buffer zone requirements for these wells to the TCEQ.</w:t>
          </w:r>
        </w:p>
        <w:p w14:paraId="380F3FD7" w14:textId="77777777" w:rsidR="008400D6" w:rsidRPr="004456ED" w:rsidRDefault="008400D6" w:rsidP="00466BFC">
          <w:pPr>
            <w:pStyle w:val="BodyText"/>
            <w:spacing w:before="120"/>
            <w:ind w:left="2160" w:hanging="540"/>
            <w:rPr>
              <w:sz w:val="22"/>
              <w:szCs w:val="22"/>
            </w:rPr>
          </w:pPr>
          <w:r w:rsidRPr="004456ED">
            <w:rPr>
              <w:sz w:val="22"/>
              <w:szCs w:val="22"/>
            </w:rPr>
            <w:t>(ii)</w:t>
          </w:r>
          <w:r w:rsidRPr="004456ED">
            <w:rPr>
              <w:sz w:val="22"/>
              <w:szCs w:val="22"/>
            </w:rPr>
            <w:tab/>
            <w:t>For wells drilled on or after July 20, 2004, requests for variances to the buffer zone requirements must be submitted to the TCEQ for review and approval. The buffer variance approval letter must be kept on site and made available to TCEQ personnel upon request.</w:t>
          </w:r>
        </w:p>
        <w:p w14:paraId="3C10ED87" w14:textId="77777777" w:rsidR="008400D6" w:rsidRPr="004456ED" w:rsidRDefault="008400D6" w:rsidP="00466BFC">
          <w:pPr>
            <w:pStyle w:val="BodyText"/>
            <w:spacing w:before="120"/>
            <w:ind w:left="1620" w:hanging="540"/>
            <w:rPr>
              <w:sz w:val="22"/>
              <w:szCs w:val="22"/>
            </w:rPr>
          </w:pPr>
          <w:r w:rsidRPr="004456ED">
            <w:rPr>
              <w:sz w:val="22"/>
              <w:szCs w:val="22"/>
            </w:rPr>
            <w:t>(3)</w:t>
          </w:r>
          <w:r w:rsidRPr="004456ED">
            <w:rPr>
              <w:sz w:val="22"/>
              <w:szCs w:val="22"/>
            </w:rPr>
            <w:tab/>
            <w:t>Construction of any new water well must be done in accordance with the requirements of this general permit and 16 TAC Chapter 76, relating to Water Well Drillers and Water Well Pump Installers.</w:t>
          </w:r>
        </w:p>
        <w:p w14:paraId="70752663" w14:textId="77777777" w:rsidR="008400D6" w:rsidRPr="004456ED" w:rsidRDefault="008400D6" w:rsidP="00466BFC">
          <w:pPr>
            <w:pStyle w:val="BodyText"/>
            <w:spacing w:before="120"/>
            <w:ind w:left="1620" w:hanging="540"/>
            <w:rPr>
              <w:sz w:val="22"/>
              <w:szCs w:val="22"/>
            </w:rPr>
          </w:pPr>
          <w:r w:rsidRPr="004456ED">
            <w:rPr>
              <w:sz w:val="22"/>
              <w:szCs w:val="22"/>
            </w:rPr>
            <w:t>(4)</w:t>
          </w:r>
          <w:r w:rsidRPr="004456ED">
            <w:rPr>
              <w:sz w:val="22"/>
              <w:szCs w:val="22"/>
            </w:rPr>
            <w:tab/>
            <w:t>All abandoned and deteriorated wells shall be plugged according to 16 TAC Chapter 76.104.</w:t>
          </w:r>
        </w:p>
        <w:p w14:paraId="594E95B4" w14:textId="77777777" w:rsidR="008400D6" w:rsidRPr="004456ED" w:rsidRDefault="008400D6" w:rsidP="00466BFC">
          <w:pPr>
            <w:pStyle w:val="BodyText"/>
            <w:spacing w:before="120"/>
            <w:ind w:left="1620" w:hanging="540"/>
            <w:rPr>
              <w:sz w:val="22"/>
              <w:szCs w:val="22"/>
            </w:rPr>
          </w:pPr>
          <w:r w:rsidRPr="004456ED">
            <w:rPr>
              <w:sz w:val="22"/>
              <w:szCs w:val="22"/>
            </w:rPr>
            <w:t>(5)</w:t>
          </w:r>
          <w:r w:rsidRPr="004456ED">
            <w:rPr>
              <w:sz w:val="22"/>
              <w:szCs w:val="22"/>
            </w:rPr>
            <w:tab/>
            <w:t>The permittee shall not locate new LMUs within the required well buffer zones unless additional wellhead protective measures are implemented that will prevent pollutants from entering the well and contaminating groundwater. An exception to the full well buffer zone for a private drinking water well or a water well used exclusively for agricultural irrigation may be approved by the Executive Director if a licensed Texas Professional Engineer or licensed Texas Professional Geoscientist provides accurate documentation showing that additional wellhead protective measures will be or have been implemented that will prevent pollutants from entering the well and contaminating the groundwater. Additional protective measures may include a sanitary seal, annular seal, a steel sleeve, or surface slab.</w:t>
          </w:r>
        </w:p>
        <w:p w14:paraId="36D21067" w14:textId="77777777" w:rsidR="008400D6" w:rsidRPr="004456ED" w:rsidRDefault="008400D6" w:rsidP="00466BFC">
          <w:pPr>
            <w:pStyle w:val="BodyText"/>
            <w:spacing w:before="120"/>
            <w:ind w:left="1620" w:hanging="540"/>
            <w:rPr>
              <w:sz w:val="22"/>
              <w:szCs w:val="22"/>
            </w:rPr>
          </w:pPr>
          <w:r w:rsidRPr="004456ED">
            <w:rPr>
              <w:sz w:val="22"/>
              <w:szCs w:val="22"/>
            </w:rPr>
            <w:t>(6)</w:t>
          </w:r>
          <w:r w:rsidRPr="004456ED">
            <w:rPr>
              <w:sz w:val="22"/>
              <w:szCs w:val="22"/>
            </w:rPr>
            <w:tab/>
            <w:t>Irrigation of wastewater directly over a well head will require a wellhead protection structure protective of the wellhead that will prevent contact from irrigated wastewater.</w:t>
          </w:r>
        </w:p>
        <w:p w14:paraId="33CC1C7B" w14:textId="77777777" w:rsidR="00375F13" w:rsidRPr="004456ED" w:rsidRDefault="00F5182A" w:rsidP="00EE4CE6">
          <w:pPr>
            <w:pStyle w:val="BodyText"/>
            <w:spacing w:before="120"/>
            <w:rPr>
              <w:sz w:val="22"/>
              <w:szCs w:val="22"/>
            </w:rPr>
          </w:pPr>
          <w:r w:rsidRPr="004456ED">
            <w:rPr>
              <w:sz w:val="22"/>
              <w:szCs w:val="22"/>
            </w:rPr>
            <w:t>Moreover, t</w:t>
          </w:r>
          <w:r w:rsidR="00375F13" w:rsidRPr="004456ED">
            <w:rPr>
              <w:sz w:val="22"/>
              <w:szCs w:val="22"/>
            </w:rPr>
            <w:t xml:space="preserve">he </w:t>
          </w:r>
          <w:r w:rsidRPr="004456ED">
            <w:rPr>
              <w:sz w:val="22"/>
              <w:szCs w:val="22"/>
            </w:rPr>
            <w:t xml:space="preserve">CAFO </w:t>
          </w:r>
          <w:r w:rsidR="00375F13" w:rsidRPr="004456ED">
            <w:rPr>
              <w:sz w:val="22"/>
              <w:szCs w:val="22"/>
            </w:rPr>
            <w:t>liner requirements</w:t>
          </w:r>
          <w:r w:rsidRPr="004456ED">
            <w:rPr>
              <w:sz w:val="22"/>
              <w:szCs w:val="22"/>
            </w:rPr>
            <w:t xml:space="preserve"> in Part III.A.10(g) are in place to protect groundwater.</w:t>
          </w:r>
          <w:r w:rsidR="001D7567">
            <w:rPr>
              <w:sz w:val="22"/>
              <w:szCs w:val="22"/>
            </w:rPr>
            <w:t xml:space="preserve"> The permit requirements </w:t>
          </w:r>
          <w:r w:rsidR="00E93535">
            <w:rPr>
              <w:sz w:val="22"/>
              <w:szCs w:val="22"/>
            </w:rPr>
            <w:t xml:space="preserve">are </w:t>
          </w:r>
          <w:r w:rsidR="001D7567">
            <w:rPr>
              <w:sz w:val="22"/>
              <w:szCs w:val="22"/>
            </w:rPr>
            <w:t>as follows:</w:t>
          </w:r>
        </w:p>
        <w:p w14:paraId="386D6517" w14:textId="77777777" w:rsidR="00F5182A" w:rsidRPr="004456ED" w:rsidRDefault="00F5182A" w:rsidP="00466BFC">
          <w:pPr>
            <w:pStyle w:val="BodyText"/>
            <w:spacing w:before="120"/>
            <w:ind w:left="1080" w:hanging="540"/>
            <w:rPr>
              <w:sz w:val="22"/>
              <w:szCs w:val="22"/>
            </w:rPr>
          </w:pPr>
          <w:r w:rsidRPr="004456ED">
            <w:rPr>
              <w:sz w:val="22"/>
              <w:szCs w:val="22"/>
            </w:rPr>
            <w:lastRenderedPageBreak/>
            <w:t>(g)</w:t>
          </w:r>
          <w:r w:rsidRPr="004456ED">
            <w:rPr>
              <w:sz w:val="22"/>
              <w:szCs w:val="22"/>
            </w:rPr>
            <w:tab/>
            <w:t>Liner Requirements</w:t>
          </w:r>
        </w:p>
        <w:p w14:paraId="57CBE4FE" w14:textId="77777777" w:rsidR="00F5182A" w:rsidRPr="004456ED" w:rsidRDefault="00F5182A" w:rsidP="005B4771">
          <w:pPr>
            <w:pStyle w:val="BodyText"/>
            <w:spacing w:before="120"/>
            <w:ind w:left="630"/>
            <w:rPr>
              <w:sz w:val="22"/>
              <w:szCs w:val="22"/>
            </w:rPr>
          </w:pPr>
          <w:r w:rsidRPr="004456ED">
            <w:rPr>
              <w:sz w:val="22"/>
              <w:szCs w:val="22"/>
            </w:rPr>
            <w:t>For all new construction and for all structural modifications of existing RCS(s), each RCS must demonstrate the lack of hydrologic connection or a liner is required that complies with paragraph (2), (3), or (4) below.</w:t>
          </w:r>
        </w:p>
        <w:p w14:paraId="441CC29C" w14:textId="77777777" w:rsidR="00F5182A" w:rsidRPr="004456ED" w:rsidRDefault="00F5182A" w:rsidP="00466BFC">
          <w:pPr>
            <w:pStyle w:val="BodyText"/>
            <w:spacing w:before="120"/>
            <w:ind w:left="1620" w:hanging="540"/>
            <w:rPr>
              <w:sz w:val="22"/>
              <w:szCs w:val="22"/>
            </w:rPr>
          </w:pPr>
          <w:r w:rsidRPr="004456ED">
            <w:rPr>
              <w:sz w:val="22"/>
              <w:szCs w:val="22"/>
            </w:rPr>
            <w:t>(1)</w:t>
          </w:r>
          <w:r w:rsidRPr="004456ED">
            <w:rPr>
              <w:sz w:val="22"/>
              <w:szCs w:val="22"/>
            </w:rPr>
            <w:tab/>
            <w:t>Lack of Hydrologic Connection</w:t>
          </w:r>
        </w:p>
        <w:p w14:paraId="1E62A873" w14:textId="77777777" w:rsidR="00F5182A" w:rsidRPr="004456ED" w:rsidRDefault="00F5182A" w:rsidP="00466BFC">
          <w:pPr>
            <w:pStyle w:val="BodyText"/>
            <w:spacing w:before="120"/>
            <w:ind w:left="2160" w:hanging="540"/>
            <w:rPr>
              <w:sz w:val="22"/>
              <w:szCs w:val="22"/>
            </w:rPr>
          </w:pPr>
          <w:r w:rsidRPr="004456ED">
            <w:rPr>
              <w:sz w:val="22"/>
              <w:szCs w:val="22"/>
            </w:rPr>
            <w:t>(i)</w:t>
          </w:r>
          <w:r w:rsidRPr="004456ED">
            <w:rPr>
              <w:sz w:val="22"/>
              <w:szCs w:val="22"/>
            </w:rPr>
            <w:tab/>
            <w:t>Documentation must show that there will be no significant leakage from the RCS(s); or that any leakage from the RCS(s) will not migrate to water in the state. The lack of hydrologic connection documentation shall be certified by a licensed Texas Professional Engineer or licensed Texas Professional Geoscientist and must include information on the hydraulic conductivity and thickness of the natural materials underlying and forming the walls of the containment structure up to the wetted perimeter.</w:t>
          </w:r>
        </w:p>
        <w:p w14:paraId="49E50C15" w14:textId="77777777" w:rsidR="00F5182A" w:rsidRPr="004456ED" w:rsidRDefault="00F5182A" w:rsidP="00466BFC">
          <w:pPr>
            <w:pStyle w:val="BodyText"/>
            <w:spacing w:before="120"/>
            <w:ind w:left="2160" w:hanging="540"/>
            <w:rPr>
              <w:sz w:val="22"/>
              <w:szCs w:val="22"/>
            </w:rPr>
          </w:pPr>
          <w:r w:rsidRPr="004456ED">
            <w:rPr>
              <w:sz w:val="22"/>
              <w:szCs w:val="22"/>
            </w:rPr>
            <w:t>(ii)</w:t>
          </w:r>
          <w:r w:rsidRPr="004456ED">
            <w:rPr>
              <w:sz w:val="22"/>
              <w:szCs w:val="22"/>
            </w:rPr>
            <w:tab/>
            <w:t>If it is claimed that no significant leakage would result from the use of in-situ materials, documentation must be provided that leakage will not migrate to waters in the state. The permittee must, at a minimum, include maps showing groundwater flow paths, or that the leakage enters a confined environment. The permittee shall also include a written determination by an NRCS engineer, licensed Texas Professional Engineer, or licensed Texas Professional Geoscientist that a liner is not needed to prevent a significant hydrologic connection between the contained wastewater and water in the state.</w:t>
          </w:r>
        </w:p>
        <w:p w14:paraId="730D6654" w14:textId="77777777" w:rsidR="00F5182A" w:rsidRPr="004456ED" w:rsidRDefault="00F5182A" w:rsidP="00466BFC">
          <w:pPr>
            <w:pStyle w:val="BodyText"/>
            <w:spacing w:before="120"/>
            <w:ind w:left="1620" w:hanging="540"/>
            <w:rPr>
              <w:sz w:val="22"/>
              <w:szCs w:val="22"/>
            </w:rPr>
          </w:pPr>
          <w:r w:rsidRPr="004456ED">
            <w:rPr>
              <w:sz w:val="22"/>
              <w:szCs w:val="22"/>
            </w:rPr>
            <w:t>(2)</w:t>
          </w:r>
          <w:r w:rsidRPr="004456ED">
            <w:rPr>
              <w:sz w:val="22"/>
              <w:szCs w:val="22"/>
            </w:rPr>
            <w:tab/>
            <w:t>RCS Liner using In-situ Material</w:t>
          </w:r>
        </w:p>
        <w:p w14:paraId="641BA983" w14:textId="77777777" w:rsidR="00F5182A" w:rsidRPr="004456ED" w:rsidRDefault="00F5182A" w:rsidP="00F5182A">
          <w:pPr>
            <w:pStyle w:val="BodyText"/>
            <w:spacing w:before="120"/>
            <w:ind w:left="1080"/>
            <w:rPr>
              <w:sz w:val="22"/>
              <w:szCs w:val="22"/>
            </w:rPr>
          </w:pPr>
          <w:r w:rsidRPr="004456ED">
            <w:rPr>
              <w:sz w:val="22"/>
              <w:szCs w:val="22"/>
            </w:rPr>
            <w:t>In-situ material is undisturbed, in-place, native soil material. In-situ materials must at least meet the minimum criteria for hydraulic conductivity and thickness as described in Part III.A.6(g)(3). Samples shall be collected and analyzed in accordance with Part III.A.6(g)(5). The calculated specific discharge through the in-situ material must meet the requirements of Part III.A.6(g)(3). This documentation must be certified by a licensed Texas Professional Engineer or licensed Texas Professional Geoscientist.</w:t>
          </w:r>
        </w:p>
        <w:p w14:paraId="1442F051" w14:textId="77777777" w:rsidR="00F5182A" w:rsidRPr="004456ED" w:rsidRDefault="00F5182A" w:rsidP="00466BFC">
          <w:pPr>
            <w:pStyle w:val="BodyText"/>
            <w:spacing w:before="120"/>
            <w:ind w:left="1620" w:hanging="540"/>
            <w:rPr>
              <w:sz w:val="22"/>
              <w:szCs w:val="22"/>
            </w:rPr>
          </w:pPr>
          <w:r w:rsidRPr="004456ED">
            <w:rPr>
              <w:sz w:val="22"/>
              <w:szCs w:val="22"/>
            </w:rPr>
            <w:t>(3)</w:t>
          </w:r>
          <w:r w:rsidRPr="004456ED">
            <w:rPr>
              <w:sz w:val="22"/>
              <w:szCs w:val="22"/>
            </w:rPr>
            <w:tab/>
            <w:t>Constructed or Installed Earthen Liner</w:t>
          </w:r>
        </w:p>
        <w:p w14:paraId="670A1237" w14:textId="77777777" w:rsidR="00F5182A" w:rsidRPr="004456ED" w:rsidRDefault="00F5182A" w:rsidP="00466BFC">
          <w:pPr>
            <w:pStyle w:val="BodyText"/>
            <w:spacing w:before="120"/>
            <w:ind w:left="2160" w:hanging="540"/>
            <w:rPr>
              <w:sz w:val="22"/>
              <w:szCs w:val="22"/>
            </w:rPr>
          </w:pPr>
          <w:r w:rsidRPr="004456ED">
            <w:rPr>
              <w:sz w:val="22"/>
              <w:szCs w:val="22"/>
            </w:rPr>
            <w:t>(i)</w:t>
          </w:r>
          <w:r w:rsidRPr="004456ED">
            <w:rPr>
              <w:sz w:val="22"/>
              <w:szCs w:val="22"/>
            </w:rPr>
            <w:tab/>
            <w:t>Constructed or installed liners must be designed by a licensed Texas Professional Engineer. The liner must be constructed in accordance with the design and certified as such by a licensed Texas Professional Engineer. Compaction tests and post construction sampling and analyses, conducted in accordance with Part III.A.6(g)(5), will provide support for the liner certification.</w:t>
          </w:r>
        </w:p>
        <w:p w14:paraId="0869AA11" w14:textId="77777777" w:rsidR="00F5182A" w:rsidRPr="004456ED" w:rsidRDefault="00F5182A" w:rsidP="00466BFC">
          <w:pPr>
            <w:pStyle w:val="BodyText"/>
            <w:spacing w:before="120"/>
            <w:ind w:left="2160" w:hanging="540"/>
            <w:rPr>
              <w:sz w:val="22"/>
              <w:szCs w:val="22"/>
            </w:rPr>
          </w:pPr>
          <w:r w:rsidRPr="004456ED">
            <w:rPr>
              <w:sz w:val="22"/>
              <w:szCs w:val="22"/>
            </w:rPr>
            <w:t>(ii)</w:t>
          </w:r>
          <w:r w:rsidRPr="004456ED">
            <w:rPr>
              <w:sz w:val="22"/>
              <w:szCs w:val="22"/>
            </w:rPr>
            <w:tab/>
            <w:t>Liners shall be designed and constructed to have hydraulic conductivities no greater than 1</w:t>
          </w:r>
          <w:r w:rsidR="006D7D00">
            <w:rPr>
              <w:sz w:val="22"/>
              <w:szCs w:val="22"/>
            </w:rPr>
            <w:t xml:space="preserve"> </w:t>
          </w:r>
          <w:r w:rsidRPr="004456ED">
            <w:rPr>
              <w:sz w:val="22"/>
              <w:szCs w:val="22"/>
            </w:rPr>
            <w:t>×</w:t>
          </w:r>
          <w:r w:rsidR="006D7D00">
            <w:rPr>
              <w:sz w:val="22"/>
              <w:szCs w:val="22"/>
            </w:rPr>
            <w:t xml:space="preserve"> </w:t>
          </w:r>
          <w:r w:rsidRPr="004456ED">
            <w:rPr>
              <w:sz w:val="22"/>
              <w:szCs w:val="22"/>
            </w:rPr>
            <w:t>10</w:t>
          </w:r>
          <w:r w:rsidRPr="004456ED">
            <w:rPr>
              <w:sz w:val="22"/>
              <w:szCs w:val="22"/>
              <w:vertAlign w:val="superscript"/>
            </w:rPr>
            <w:t>-7</w:t>
          </w:r>
          <w:r w:rsidRPr="004456ED">
            <w:rPr>
              <w:sz w:val="22"/>
              <w:szCs w:val="22"/>
            </w:rPr>
            <w:t xml:space="preserve"> centimeters per second (cm/sec), with a thickness of 18 inches or greater or its equivalency in other materials, and not to exceed a specific discharge through the liner of 1.1</w:t>
          </w:r>
          <w:r w:rsidR="00394E49">
            <w:rPr>
              <w:sz w:val="22"/>
              <w:szCs w:val="22"/>
            </w:rPr>
            <w:t xml:space="preserve"> </w:t>
          </w:r>
          <w:r w:rsidRPr="004456ED">
            <w:rPr>
              <w:sz w:val="22"/>
              <w:szCs w:val="22"/>
            </w:rPr>
            <w:t>×</w:t>
          </w:r>
          <w:r w:rsidR="00394E49">
            <w:rPr>
              <w:sz w:val="22"/>
              <w:szCs w:val="22"/>
            </w:rPr>
            <w:t xml:space="preserve"> </w:t>
          </w:r>
          <w:r w:rsidRPr="004456ED">
            <w:rPr>
              <w:sz w:val="22"/>
              <w:szCs w:val="22"/>
            </w:rPr>
            <w:t>10</w:t>
          </w:r>
          <w:r w:rsidRPr="004456ED">
            <w:rPr>
              <w:sz w:val="22"/>
              <w:szCs w:val="22"/>
              <w:vertAlign w:val="superscript"/>
            </w:rPr>
            <w:t>-6</w:t>
          </w:r>
          <w:r w:rsidRPr="004456ED">
            <w:rPr>
              <w:sz w:val="22"/>
              <w:szCs w:val="22"/>
            </w:rPr>
            <w:t xml:space="preserve"> cm/sec calculated using Darcy's Law with a water level at spillway depth.</w:t>
          </w:r>
        </w:p>
        <w:p w14:paraId="58ADF8BC" w14:textId="77777777" w:rsidR="00F5182A" w:rsidRPr="004456ED" w:rsidRDefault="00F5182A" w:rsidP="00466BFC">
          <w:pPr>
            <w:pStyle w:val="BodyText"/>
            <w:spacing w:before="120"/>
            <w:ind w:left="2160" w:hanging="540"/>
            <w:rPr>
              <w:sz w:val="22"/>
              <w:szCs w:val="22"/>
            </w:rPr>
          </w:pPr>
          <w:r w:rsidRPr="004456ED">
            <w:rPr>
              <w:sz w:val="22"/>
              <w:szCs w:val="22"/>
            </w:rPr>
            <w:t>(iii)</w:t>
          </w:r>
          <w:r w:rsidRPr="004456ED">
            <w:rPr>
              <w:sz w:val="22"/>
              <w:szCs w:val="22"/>
            </w:rPr>
            <w:tab/>
            <w:t>Constructed or installed liners must be designed and constructed to meet the soil requirements, lift requirements, and compaction testing requirements as listed in Part III.A.6(f)(1), (2), and (4).</w:t>
          </w:r>
        </w:p>
        <w:p w14:paraId="252C24BB" w14:textId="77777777" w:rsidR="00F5182A" w:rsidRPr="004456ED" w:rsidRDefault="00F5182A" w:rsidP="00466BFC">
          <w:pPr>
            <w:pStyle w:val="BodyText"/>
            <w:spacing w:before="120"/>
            <w:ind w:left="1710" w:hanging="630"/>
            <w:rPr>
              <w:sz w:val="22"/>
              <w:szCs w:val="22"/>
            </w:rPr>
          </w:pPr>
          <w:r w:rsidRPr="004456ED">
            <w:rPr>
              <w:sz w:val="22"/>
              <w:szCs w:val="22"/>
            </w:rPr>
            <w:lastRenderedPageBreak/>
            <w:t>(4)</w:t>
          </w:r>
          <w:r w:rsidRPr="004456ED">
            <w:rPr>
              <w:sz w:val="22"/>
              <w:szCs w:val="22"/>
            </w:rPr>
            <w:tab/>
            <w:t>Geosynthetic Liners</w:t>
          </w:r>
        </w:p>
        <w:p w14:paraId="2989EB02" w14:textId="77777777" w:rsidR="00F5182A" w:rsidRPr="004456ED" w:rsidRDefault="00F5182A" w:rsidP="00466BFC">
          <w:pPr>
            <w:pStyle w:val="BodyText"/>
            <w:spacing w:before="120"/>
            <w:ind w:left="1710"/>
            <w:rPr>
              <w:sz w:val="22"/>
              <w:szCs w:val="22"/>
            </w:rPr>
          </w:pPr>
          <w:r w:rsidRPr="004456ED">
            <w:rPr>
              <w:sz w:val="22"/>
              <w:szCs w:val="22"/>
            </w:rPr>
            <w:t>Geosynthetic liners that meet the specific discharge standard in Part III.A.6(g)(3) are acceptable if certified by a licensed Texas Professional Engineer. Documentation must be presented to the Executive Director for review and approval before putting into service. Installation of the liner shall be certified by a licensed Texas Professional Engineer that the liner and subgrade were completed according to the manufacturer's recommendations and current standards. Seams shall be completed in accordance with the manufacturer's requirement. When wedge weld seams are used, non-destructive seam testing shall be conducted on the complete length of the wedge weld by standard air pressure testing. The certification must document compliance with all of the following standards: ASTM D 5888 Storage and Handling of Geosynthetic Clay liners, ASTM D 5889 Quality Control of Geosynthetic Clay Liners, and ASTM D 6102 Guide for Installation of Geosynthetic Clay Liners.</w:t>
          </w:r>
        </w:p>
        <w:p w14:paraId="2B0973BC" w14:textId="77777777" w:rsidR="00F5182A" w:rsidRPr="004456ED" w:rsidRDefault="00F5182A" w:rsidP="00466BFC">
          <w:pPr>
            <w:pStyle w:val="BodyText"/>
            <w:spacing w:before="120"/>
            <w:ind w:left="1620" w:hanging="540"/>
            <w:rPr>
              <w:sz w:val="22"/>
              <w:szCs w:val="22"/>
            </w:rPr>
          </w:pPr>
          <w:r w:rsidRPr="004456ED">
            <w:rPr>
              <w:sz w:val="22"/>
              <w:szCs w:val="22"/>
            </w:rPr>
            <w:t>(5)</w:t>
          </w:r>
          <w:r w:rsidRPr="004456ED">
            <w:rPr>
              <w:sz w:val="22"/>
              <w:szCs w:val="22"/>
            </w:rPr>
            <w:tab/>
            <w:t>Liner Sampling and Analyses of In-Situ Material or Earthen Liners</w:t>
          </w:r>
        </w:p>
        <w:p w14:paraId="24A9BC21" w14:textId="77777777" w:rsidR="00F5182A" w:rsidRPr="004456ED" w:rsidRDefault="00F5182A" w:rsidP="00466BFC">
          <w:pPr>
            <w:pStyle w:val="BodyText"/>
            <w:spacing w:before="120"/>
            <w:ind w:left="2160" w:hanging="540"/>
            <w:rPr>
              <w:sz w:val="22"/>
              <w:szCs w:val="22"/>
            </w:rPr>
          </w:pPr>
          <w:r w:rsidRPr="004456ED">
            <w:rPr>
              <w:sz w:val="22"/>
              <w:szCs w:val="22"/>
            </w:rPr>
            <w:t>(i)</w:t>
          </w:r>
          <w:r w:rsidRPr="004456ED">
            <w:rPr>
              <w:sz w:val="22"/>
              <w:szCs w:val="22"/>
            </w:rPr>
            <w:tab/>
            <w:t>The licensed Texas Professional Engineer or licensed Texas Professional Geoscientist shall use best professional practices to ensure that corings or other liner samples will be appropriately plugged with material that also meets liner requirements of this subsection.</w:t>
          </w:r>
        </w:p>
        <w:p w14:paraId="1EA306BF" w14:textId="77777777" w:rsidR="00F5182A" w:rsidRPr="004456ED" w:rsidRDefault="00F5182A" w:rsidP="00466BFC">
          <w:pPr>
            <w:pStyle w:val="BodyText"/>
            <w:spacing w:before="120"/>
            <w:ind w:left="2160" w:hanging="540"/>
            <w:rPr>
              <w:sz w:val="22"/>
              <w:szCs w:val="22"/>
            </w:rPr>
          </w:pPr>
          <w:r w:rsidRPr="004456ED">
            <w:rPr>
              <w:sz w:val="22"/>
              <w:szCs w:val="22"/>
            </w:rPr>
            <w:t>(ii)</w:t>
          </w:r>
          <w:r w:rsidRPr="004456ED">
            <w:rPr>
              <w:sz w:val="22"/>
              <w:szCs w:val="22"/>
            </w:rPr>
            <w:tab/>
            <w:t>Samples shall be collected in accordance with ASTM D 1587 or other method approved by the Executive Director. For each RCS, a minimum of two core samples shall be collected from the bottom of the RCS and a minimum of one core sample shall be collected from each sidewall. Additional samples may be necessary based on the best professional judgment of the licensed Professional Engineer. Distribution of the samples shall be representative of liner characteristics, and proportional to the surface area of the sidewalls and floor. Documentation shall be provided identifying the sample locations with respect to the RCS liner.</w:t>
          </w:r>
        </w:p>
        <w:p w14:paraId="6F468F2C" w14:textId="77777777" w:rsidR="00F5182A" w:rsidRPr="004456ED" w:rsidRDefault="00F5182A" w:rsidP="00466BFC">
          <w:pPr>
            <w:pStyle w:val="BodyText"/>
            <w:spacing w:before="120"/>
            <w:ind w:left="2160" w:hanging="540"/>
            <w:rPr>
              <w:sz w:val="22"/>
              <w:szCs w:val="22"/>
            </w:rPr>
          </w:pPr>
          <w:r w:rsidRPr="004456ED">
            <w:rPr>
              <w:sz w:val="22"/>
              <w:szCs w:val="22"/>
            </w:rPr>
            <w:t>(iii)</w:t>
          </w:r>
          <w:r w:rsidRPr="004456ED">
            <w:rPr>
              <w:sz w:val="22"/>
              <w:szCs w:val="22"/>
            </w:rPr>
            <w:tab/>
            <w:t>For earthen liners, undisturbed samples shall be analyzed for hydraulic conductivity in accordance with ASTM D 5084, whole pond seepage analysis as described in ASABE Paper Number 034130, Double Ring Infiltrometer (stand pipe), or other method approved by the Executive Director.</w:t>
          </w:r>
        </w:p>
        <w:p w14:paraId="00EF7743" w14:textId="77777777" w:rsidR="00F5182A" w:rsidRPr="004456ED" w:rsidRDefault="00F5182A" w:rsidP="00466BFC">
          <w:pPr>
            <w:pStyle w:val="BodyText"/>
            <w:spacing w:before="120"/>
            <w:ind w:left="1620" w:hanging="540"/>
            <w:rPr>
              <w:sz w:val="22"/>
              <w:szCs w:val="22"/>
            </w:rPr>
          </w:pPr>
          <w:r w:rsidRPr="004456ED">
            <w:rPr>
              <w:sz w:val="22"/>
              <w:szCs w:val="22"/>
            </w:rPr>
            <w:t>(6)</w:t>
          </w:r>
          <w:r w:rsidRPr="004456ED">
            <w:rPr>
              <w:sz w:val="22"/>
              <w:szCs w:val="22"/>
            </w:rPr>
            <w:tab/>
            <w:t>Leak Detection System</w:t>
          </w:r>
        </w:p>
        <w:p w14:paraId="7DBEE495" w14:textId="77777777" w:rsidR="005B4771" w:rsidRPr="004456ED" w:rsidRDefault="00F5182A" w:rsidP="005B4771">
          <w:pPr>
            <w:pStyle w:val="BodyText"/>
            <w:spacing w:before="120"/>
            <w:ind w:left="1080"/>
            <w:rPr>
              <w:sz w:val="22"/>
              <w:szCs w:val="22"/>
            </w:rPr>
          </w:pPr>
          <w:r w:rsidRPr="004456ED">
            <w:rPr>
              <w:sz w:val="22"/>
              <w:szCs w:val="22"/>
            </w:rPr>
            <w:t>If notified by the Executive Director that significant potential exists for the adverse impact of water in the state or drinking water from leakage of the RCS, the permittee shall install a leak detection system or monitoring well(s) in accordance with that notice. Documentation of compliance with the notification must be kept with the PPP, as well as copies of all sampling data.</w:t>
          </w:r>
        </w:p>
        <w:p w14:paraId="1F541E85" w14:textId="77777777" w:rsidR="005B4771" w:rsidRPr="004456ED" w:rsidRDefault="005B4771" w:rsidP="005B4771">
          <w:pPr>
            <w:pStyle w:val="BodyText"/>
            <w:spacing w:before="120"/>
            <w:rPr>
              <w:sz w:val="22"/>
              <w:szCs w:val="22"/>
            </w:rPr>
          </w:pPr>
          <w:r w:rsidRPr="004456ED">
            <w:rPr>
              <w:sz w:val="22"/>
              <w:szCs w:val="22"/>
            </w:rPr>
            <w:t>Part III.A.12(c) of the</w:t>
          </w:r>
          <w:r w:rsidR="005F04B1">
            <w:rPr>
              <w:sz w:val="22"/>
              <w:szCs w:val="22"/>
            </w:rPr>
            <w:t xml:space="preserve"> CAFO</w:t>
          </w:r>
          <w:r w:rsidRPr="004456ED">
            <w:rPr>
              <w:sz w:val="22"/>
              <w:szCs w:val="22"/>
            </w:rPr>
            <w:t xml:space="preserve"> GP includes the general requirements for land application</w:t>
          </w:r>
          <w:r w:rsidR="001D7567">
            <w:rPr>
              <w:sz w:val="22"/>
              <w:szCs w:val="22"/>
            </w:rPr>
            <w:t>, and are as follows:</w:t>
          </w:r>
        </w:p>
        <w:p w14:paraId="79239307" w14:textId="77777777" w:rsidR="005B4771" w:rsidRPr="004456ED" w:rsidRDefault="005B4771" w:rsidP="00466BFC">
          <w:pPr>
            <w:pStyle w:val="BodyText"/>
            <w:spacing w:before="120"/>
            <w:ind w:left="1080" w:hanging="540"/>
            <w:rPr>
              <w:sz w:val="22"/>
              <w:szCs w:val="22"/>
            </w:rPr>
          </w:pPr>
          <w:r w:rsidRPr="004456ED">
            <w:rPr>
              <w:sz w:val="22"/>
              <w:szCs w:val="22"/>
            </w:rPr>
            <w:t>(c)</w:t>
          </w:r>
          <w:r w:rsidRPr="004456ED">
            <w:rPr>
              <w:sz w:val="22"/>
              <w:szCs w:val="22"/>
            </w:rPr>
            <w:tab/>
            <w:t>Land Application Requirements. All permittees must manage LMUs according to the following requirements.</w:t>
          </w:r>
        </w:p>
        <w:p w14:paraId="64CC7504" w14:textId="77777777" w:rsidR="005B4771" w:rsidRPr="004456ED" w:rsidRDefault="005B4771" w:rsidP="00466BFC">
          <w:pPr>
            <w:pStyle w:val="BodyText"/>
            <w:spacing w:before="120"/>
            <w:ind w:left="1620" w:hanging="540"/>
            <w:rPr>
              <w:sz w:val="22"/>
              <w:szCs w:val="22"/>
            </w:rPr>
          </w:pPr>
          <w:r w:rsidRPr="004456ED">
            <w:rPr>
              <w:sz w:val="22"/>
              <w:szCs w:val="22"/>
            </w:rPr>
            <w:lastRenderedPageBreak/>
            <w:t>(1)</w:t>
          </w:r>
          <w:r w:rsidRPr="004456ED">
            <w:rPr>
              <w:sz w:val="22"/>
              <w:szCs w:val="22"/>
            </w:rPr>
            <w:tab/>
            <w:t>Discharge of manure, sludge, or wastewater is prohibited from a LMU and shall not cause or contribute to a violation of surface water quality standards, contaminate groundwater, or create a nuisance condition.</w:t>
          </w:r>
        </w:p>
        <w:p w14:paraId="12B215DD" w14:textId="77777777" w:rsidR="005B4771" w:rsidRPr="004456ED" w:rsidRDefault="005B4771" w:rsidP="00466BFC">
          <w:pPr>
            <w:pStyle w:val="BodyText"/>
            <w:spacing w:before="120"/>
            <w:ind w:left="1620" w:hanging="540"/>
            <w:rPr>
              <w:sz w:val="22"/>
              <w:szCs w:val="22"/>
            </w:rPr>
          </w:pPr>
          <w:r w:rsidRPr="004456ED">
            <w:rPr>
              <w:sz w:val="22"/>
              <w:szCs w:val="22"/>
            </w:rPr>
            <w:t>(2)</w:t>
          </w:r>
          <w:r w:rsidRPr="004456ED">
            <w:rPr>
              <w:sz w:val="22"/>
              <w:szCs w:val="22"/>
            </w:rPr>
            <w:tab/>
            <w:t>Land application shall not occur when the ground is frozen or saturated or during rainfall events unless in accordance with Part III.A.10(b) of this permit.</w:t>
          </w:r>
        </w:p>
        <w:p w14:paraId="54FD78FB" w14:textId="77777777" w:rsidR="005B4771" w:rsidRPr="004456ED" w:rsidRDefault="005B4771" w:rsidP="00466BFC">
          <w:pPr>
            <w:pStyle w:val="BodyText"/>
            <w:spacing w:before="120"/>
            <w:ind w:left="1620" w:hanging="540"/>
            <w:rPr>
              <w:sz w:val="22"/>
              <w:szCs w:val="22"/>
            </w:rPr>
          </w:pPr>
          <w:r w:rsidRPr="004456ED">
            <w:rPr>
              <w:sz w:val="22"/>
              <w:szCs w:val="22"/>
            </w:rPr>
            <w:t>(3)</w:t>
          </w:r>
          <w:r w:rsidRPr="004456ED">
            <w:rPr>
              <w:sz w:val="22"/>
              <w:szCs w:val="22"/>
            </w:rPr>
            <w:tab/>
            <w:t>Any land application of manure, sludge, or wastewater shall not exceed the planned crop requirements. Land application rates of manure, sludge or wastewaters shall be based on the total nutrient concentration, on a dry weight basis, where applicable.</w:t>
          </w:r>
        </w:p>
        <w:p w14:paraId="1B1709C8" w14:textId="77777777" w:rsidR="005B4771" w:rsidRPr="004456ED" w:rsidRDefault="005B4771" w:rsidP="00466BFC">
          <w:pPr>
            <w:pStyle w:val="BodyText"/>
            <w:spacing w:before="120"/>
            <w:ind w:left="1620" w:hanging="540"/>
            <w:rPr>
              <w:sz w:val="22"/>
              <w:szCs w:val="22"/>
            </w:rPr>
          </w:pPr>
          <w:r w:rsidRPr="004456ED">
            <w:rPr>
              <w:sz w:val="22"/>
              <w:szCs w:val="22"/>
            </w:rPr>
            <w:t>(4)</w:t>
          </w:r>
          <w:r w:rsidRPr="004456ED">
            <w:rPr>
              <w:sz w:val="22"/>
              <w:szCs w:val="22"/>
            </w:rPr>
            <w:tab/>
            <w:t>The land application of manure, sludge, and wastewater at agronomic rates and hydrologic needs shall not be considered surface disposal and is not prohibited.</w:t>
          </w:r>
        </w:p>
        <w:p w14:paraId="5DDEF3E7" w14:textId="77777777" w:rsidR="005B4771" w:rsidRPr="004456ED" w:rsidRDefault="005B4771" w:rsidP="00466BFC">
          <w:pPr>
            <w:pStyle w:val="BodyText"/>
            <w:spacing w:before="120"/>
            <w:ind w:left="1620" w:hanging="540"/>
            <w:rPr>
              <w:sz w:val="22"/>
              <w:szCs w:val="22"/>
            </w:rPr>
          </w:pPr>
          <w:r w:rsidRPr="004456ED">
            <w:rPr>
              <w:sz w:val="22"/>
              <w:szCs w:val="22"/>
            </w:rPr>
            <w:t>(5)</w:t>
          </w:r>
          <w:r w:rsidRPr="004456ED">
            <w:rPr>
              <w:sz w:val="22"/>
              <w:szCs w:val="22"/>
            </w:rPr>
            <w:tab/>
            <w:t>Where manure, sludge, or wastewater is applied in accordance with a site-specific NMP that complies with Part III.A.12(a), precipitation-related runoff from LMUs is authorized as a pollutant discharge if the source is land associated with a CAFO in a major sole-source impairment zone; or an agricultural stormwater discharge for all other sources as defined in 33 U.S.C. §1362 (14).</w:t>
          </w:r>
        </w:p>
        <w:p w14:paraId="4D3FD23D" w14:textId="77777777" w:rsidR="005B4771" w:rsidRPr="004456ED" w:rsidRDefault="005B4771" w:rsidP="00466BFC">
          <w:pPr>
            <w:pStyle w:val="BodyText"/>
            <w:spacing w:before="120"/>
            <w:ind w:left="1620" w:hanging="540"/>
            <w:rPr>
              <w:sz w:val="22"/>
              <w:szCs w:val="22"/>
            </w:rPr>
          </w:pPr>
          <w:r w:rsidRPr="004456ED">
            <w:rPr>
              <w:sz w:val="22"/>
              <w:szCs w:val="22"/>
            </w:rPr>
            <w:t>(6)</w:t>
          </w:r>
          <w:r w:rsidRPr="004456ED">
            <w:rPr>
              <w:sz w:val="22"/>
              <w:szCs w:val="22"/>
            </w:rPr>
            <w:tab/>
            <w:t>Irrigation practices shall be managed so as to minimize ponding or puddling of wastewater on the site, prevent tailwater discharges to waters in the state, and prevent the occurrence of nuisance conditions.</w:t>
          </w:r>
        </w:p>
        <w:p w14:paraId="24714887" w14:textId="77777777" w:rsidR="005B4771" w:rsidRPr="004456ED" w:rsidRDefault="005B4771" w:rsidP="00466BFC">
          <w:pPr>
            <w:pStyle w:val="BodyText"/>
            <w:spacing w:before="120"/>
            <w:ind w:left="1620" w:hanging="540"/>
            <w:rPr>
              <w:sz w:val="22"/>
              <w:szCs w:val="22"/>
            </w:rPr>
          </w:pPr>
          <w:r w:rsidRPr="004456ED">
            <w:rPr>
              <w:sz w:val="22"/>
              <w:szCs w:val="22"/>
            </w:rPr>
            <w:t>(7)</w:t>
          </w:r>
          <w:r w:rsidRPr="004456ED">
            <w:rPr>
              <w:sz w:val="22"/>
              <w:szCs w:val="22"/>
            </w:rPr>
            <w:tab/>
            <w:t>A permittee introducing wastewater or chemicals to water well heads for the purpose of irrigation shall install backflow prevention devices in accordance with requirements contained in 16 TAC Chapter 76 (relating to Water Well Drillers and Water Well Pump Installers) and 30 TAC Chapter 290 (relating to Public Drinking Water), as appropriate.</w:t>
          </w:r>
        </w:p>
        <w:p w14:paraId="28F818C5" w14:textId="77777777" w:rsidR="00DD327F" w:rsidRDefault="005B4771" w:rsidP="00466BFC">
          <w:pPr>
            <w:pStyle w:val="BodyText"/>
            <w:spacing w:before="120"/>
            <w:ind w:left="1620" w:hanging="540"/>
            <w:rPr>
              <w:sz w:val="22"/>
              <w:szCs w:val="22"/>
            </w:rPr>
          </w:pPr>
          <w:r w:rsidRPr="004456ED">
            <w:rPr>
              <w:sz w:val="22"/>
              <w:szCs w:val="22"/>
            </w:rPr>
            <w:t>(8)</w:t>
          </w:r>
          <w:r w:rsidRPr="004456ED">
            <w:rPr>
              <w:sz w:val="22"/>
              <w:szCs w:val="22"/>
            </w:rPr>
            <w:tab/>
            <w:t>Land application at night shall only be allowed if there is no occupied residence(s) within 0.25 mile from the outer boundary of the actual area receiving manure, sludge, or wastewater application. In areas with an occupied residence within 0.25 mile from the outer boundary of the actual area receiving manure, sludge, or wastewater application, application shall only be allowed from one hour after sunrise until one hour before sunset, unless the current resident owner or lessee of such residences have, agreed in writing to specified nighttime applications.</w:t>
          </w:r>
        </w:p>
        <w:p w14:paraId="50DAFA1C" w14:textId="77777777" w:rsidR="007366DE" w:rsidRDefault="00873038" w:rsidP="00104AFE">
          <w:pPr>
            <w:pStyle w:val="BodyText"/>
            <w:spacing w:before="120"/>
            <w:rPr>
              <w:sz w:val="22"/>
              <w:szCs w:val="22"/>
            </w:rPr>
          </w:pPr>
          <w:r w:rsidRPr="004456ED">
            <w:rPr>
              <w:sz w:val="22"/>
              <w:szCs w:val="22"/>
            </w:rPr>
            <w:t>Regarding individual permit</w:t>
          </w:r>
          <w:r w:rsidR="009032AC">
            <w:rPr>
              <w:sz w:val="22"/>
              <w:szCs w:val="22"/>
            </w:rPr>
            <w:t>s</w:t>
          </w:r>
          <w:r>
            <w:rPr>
              <w:sz w:val="22"/>
              <w:szCs w:val="22"/>
            </w:rPr>
            <w:t>, fa</w:t>
          </w:r>
          <w:r w:rsidR="00104AFE">
            <w:rPr>
              <w:sz w:val="22"/>
              <w:szCs w:val="22"/>
            </w:rPr>
            <w:t>cilities that meet the requirement</w:t>
          </w:r>
          <w:r w:rsidR="00E93535">
            <w:rPr>
              <w:sz w:val="22"/>
              <w:szCs w:val="22"/>
            </w:rPr>
            <w:t>s</w:t>
          </w:r>
          <w:r w:rsidR="00104AFE">
            <w:rPr>
              <w:sz w:val="22"/>
              <w:szCs w:val="22"/>
            </w:rPr>
            <w:t xml:space="preserve"> of the</w:t>
          </w:r>
          <w:r w:rsidR="00E93535">
            <w:rPr>
              <w:sz w:val="22"/>
              <w:szCs w:val="22"/>
            </w:rPr>
            <w:t xml:space="preserve"> CAFO</w:t>
          </w:r>
          <w:r w:rsidR="00104AFE">
            <w:rPr>
              <w:sz w:val="22"/>
              <w:szCs w:val="22"/>
            </w:rPr>
            <w:t xml:space="preserve"> GP </w:t>
          </w:r>
          <w:r w:rsidR="009032AC">
            <w:rPr>
              <w:sz w:val="22"/>
              <w:szCs w:val="22"/>
            </w:rPr>
            <w:t xml:space="preserve">can obtain </w:t>
          </w:r>
          <w:r w:rsidR="00104AFE">
            <w:rPr>
              <w:sz w:val="22"/>
              <w:szCs w:val="22"/>
            </w:rPr>
            <w:t xml:space="preserve">coverage under </w:t>
          </w:r>
          <w:r w:rsidR="00E93535">
            <w:rPr>
              <w:sz w:val="22"/>
              <w:szCs w:val="22"/>
            </w:rPr>
            <w:t>it</w:t>
          </w:r>
          <w:r w:rsidR="00104AFE">
            <w:rPr>
              <w:sz w:val="22"/>
              <w:szCs w:val="22"/>
            </w:rPr>
            <w:t xml:space="preserve">. However, if any facility </w:t>
          </w:r>
          <w:r w:rsidR="002E0E85">
            <w:rPr>
              <w:sz w:val="22"/>
              <w:szCs w:val="22"/>
            </w:rPr>
            <w:t>meets</w:t>
          </w:r>
          <w:r w:rsidR="009032AC">
            <w:rPr>
              <w:sz w:val="22"/>
              <w:szCs w:val="22"/>
            </w:rPr>
            <w:t xml:space="preserve"> </w:t>
          </w:r>
          <w:r w:rsidR="00104AFE">
            <w:rPr>
              <w:sz w:val="22"/>
              <w:szCs w:val="22"/>
            </w:rPr>
            <w:t xml:space="preserve">the limitations on coverage in Part II.B of the </w:t>
          </w:r>
          <w:r w:rsidR="00E93535">
            <w:rPr>
              <w:sz w:val="22"/>
              <w:szCs w:val="22"/>
            </w:rPr>
            <w:t xml:space="preserve">CAFO </w:t>
          </w:r>
          <w:r w:rsidR="00104AFE">
            <w:rPr>
              <w:sz w:val="22"/>
              <w:szCs w:val="22"/>
            </w:rPr>
            <w:t>GP, then</w:t>
          </w:r>
          <w:r w:rsidR="00E93535" w:rsidRPr="00E93535">
            <w:rPr>
              <w:sz w:val="22"/>
              <w:szCs w:val="22"/>
            </w:rPr>
            <w:t xml:space="preserve"> </w:t>
          </w:r>
          <w:r w:rsidR="00E93535">
            <w:rPr>
              <w:sz w:val="22"/>
              <w:szCs w:val="22"/>
            </w:rPr>
            <w:t>obtaining permit coverage under</w:t>
          </w:r>
          <w:r w:rsidR="00104AFE">
            <w:rPr>
              <w:sz w:val="22"/>
              <w:szCs w:val="22"/>
            </w:rPr>
            <w:t xml:space="preserve"> an individual permit will be required</w:t>
          </w:r>
          <w:r w:rsidR="00E93535">
            <w:rPr>
              <w:sz w:val="22"/>
              <w:szCs w:val="22"/>
            </w:rPr>
            <w:t>.</w:t>
          </w:r>
          <w:r w:rsidR="00104AFE">
            <w:rPr>
              <w:sz w:val="22"/>
              <w:szCs w:val="22"/>
            </w:rPr>
            <w:t xml:space="preserve"> </w:t>
          </w:r>
          <w:r w:rsidR="00F56C15">
            <w:rPr>
              <w:sz w:val="22"/>
              <w:szCs w:val="22"/>
            </w:rPr>
            <w:t xml:space="preserve">The requirements in the CAFO GP are consistent with the CAFO Rules at 30 TAC </w:t>
          </w:r>
          <w:r w:rsidR="00E93535">
            <w:rPr>
              <w:sz w:val="22"/>
              <w:szCs w:val="22"/>
            </w:rPr>
            <w:t xml:space="preserve">Chapter </w:t>
          </w:r>
          <w:r w:rsidR="00F56C15">
            <w:rPr>
              <w:sz w:val="22"/>
              <w:szCs w:val="22"/>
            </w:rPr>
            <w:t>321</w:t>
          </w:r>
          <w:r w:rsidR="00E93535">
            <w:rPr>
              <w:sz w:val="22"/>
              <w:szCs w:val="22"/>
            </w:rPr>
            <w:t>,</w:t>
          </w:r>
          <w:r w:rsidR="00F56C15">
            <w:rPr>
              <w:sz w:val="22"/>
              <w:szCs w:val="22"/>
            </w:rPr>
            <w:t xml:space="preserve"> subchapter B and 40 C</w:t>
          </w:r>
          <w:r w:rsidR="00CD2F16">
            <w:rPr>
              <w:sz w:val="22"/>
              <w:szCs w:val="22"/>
            </w:rPr>
            <w:t xml:space="preserve">ode of </w:t>
          </w:r>
          <w:r w:rsidR="00F56C15">
            <w:rPr>
              <w:sz w:val="22"/>
              <w:szCs w:val="22"/>
            </w:rPr>
            <w:t>F</w:t>
          </w:r>
          <w:r w:rsidR="00CD2F16">
            <w:rPr>
              <w:sz w:val="22"/>
              <w:szCs w:val="22"/>
            </w:rPr>
            <w:t xml:space="preserve">ederal </w:t>
          </w:r>
          <w:r w:rsidR="00F56C15">
            <w:rPr>
              <w:sz w:val="22"/>
              <w:szCs w:val="22"/>
            </w:rPr>
            <w:t>R</w:t>
          </w:r>
          <w:r w:rsidR="00CD2F16">
            <w:rPr>
              <w:sz w:val="22"/>
              <w:szCs w:val="22"/>
            </w:rPr>
            <w:t>egulation</w:t>
          </w:r>
          <w:r w:rsidR="00F56C15">
            <w:rPr>
              <w:sz w:val="22"/>
              <w:szCs w:val="22"/>
            </w:rPr>
            <w:t xml:space="preserve"> </w:t>
          </w:r>
          <w:r w:rsidR="00E93535">
            <w:rPr>
              <w:sz w:val="22"/>
              <w:szCs w:val="22"/>
            </w:rPr>
            <w:t>Part</w:t>
          </w:r>
          <w:r w:rsidR="00F56C15">
            <w:rPr>
              <w:sz w:val="22"/>
              <w:szCs w:val="22"/>
            </w:rPr>
            <w:t>122.</w:t>
          </w:r>
          <w:r w:rsidR="00444048">
            <w:rPr>
              <w:sz w:val="22"/>
              <w:szCs w:val="22"/>
            </w:rPr>
            <w:t>23.</w:t>
          </w:r>
        </w:p>
        <w:p w14:paraId="7BB9D504" w14:textId="77777777" w:rsidR="00D424DF" w:rsidRDefault="00CC0858" w:rsidP="00104AFE">
          <w:pPr>
            <w:pStyle w:val="BodyText"/>
            <w:spacing w:before="120"/>
            <w:rPr>
              <w:sz w:val="22"/>
              <w:szCs w:val="22"/>
            </w:rPr>
          </w:pPr>
          <w:r>
            <w:rPr>
              <w:sz w:val="22"/>
              <w:szCs w:val="22"/>
            </w:rPr>
            <w:t>Authorizations under the CAFO GP are reviewed in detail</w:t>
          </w:r>
          <w:r w:rsidR="00D424DF">
            <w:rPr>
              <w:sz w:val="22"/>
              <w:szCs w:val="22"/>
            </w:rPr>
            <w:t xml:space="preserve">, </w:t>
          </w:r>
          <w:r w:rsidR="002E0E85">
            <w:rPr>
              <w:sz w:val="22"/>
              <w:szCs w:val="22"/>
            </w:rPr>
            <w:t>similar to</w:t>
          </w:r>
          <w:r w:rsidR="00D424DF">
            <w:rPr>
              <w:sz w:val="22"/>
              <w:szCs w:val="22"/>
            </w:rPr>
            <w:t xml:space="preserve"> individual permits.</w:t>
          </w:r>
        </w:p>
        <w:p w14:paraId="232DFA48" w14:textId="77777777" w:rsidR="00D424DF" w:rsidRDefault="00BF1A21" w:rsidP="00104AFE">
          <w:pPr>
            <w:pStyle w:val="BodyText"/>
            <w:spacing w:before="120"/>
            <w:rPr>
              <w:sz w:val="22"/>
              <w:szCs w:val="22"/>
            </w:rPr>
          </w:pPr>
          <w:r>
            <w:rPr>
              <w:sz w:val="22"/>
              <w:szCs w:val="22"/>
            </w:rPr>
            <w:t>All CAFO GP applications are t</w:t>
          </w:r>
          <w:r w:rsidR="00D424DF">
            <w:rPr>
              <w:sz w:val="22"/>
              <w:szCs w:val="22"/>
            </w:rPr>
            <w:t>horoughly review</w:t>
          </w:r>
          <w:r>
            <w:rPr>
              <w:sz w:val="22"/>
              <w:szCs w:val="22"/>
            </w:rPr>
            <w:t>ed</w:t>
          </w:r>
          <w:r w:rsidR="00D424DF">
            <w:rPr>
              <w:sz w:val="22"/>
              <w:szCs w:val="22"/>
            </w:rPr>
            <w:t xml:space="preserve"> to </w:t>
          </w:r>
          <w:r w:rsidR="00B4151E">
            <w:rPr>
              <w:sz w:val="22"/>
              <w:szCs w:val="22"/>
            </w:rPr>
            <w:t>e</w:t>
          </w:r>
          <w:r w:rsidR="00D424DF">
            <w:rPr>
              <w:sz w:val="22"/>
              <w:szCs w:val="22"/>
            </w:rPr>
            <w:t>nsure protection of groundwater by requiring ade</w:t>
          </w:r>
          <w:r w:rsidR="00B4151E">
            <w:rPr>
              <w:sz w:val="22"/>
              <w:szCs w:val="22"/>
            </w:rPr>
            <w:t>qu</w:t>
          </w:r>
          <w:r w:rsidR="00D424DF">
            <w:rPr>
              <w:sz w:val="22"/>
              <w:szCs w:val="22"/>
            </w:rPr>
            <w:t>ate buffers from wells and recharge features</w:t>
          </w:r>
          <w:r w:rsidR="000036BD">
            <w:rPr>
              <w:sz w:val="22"/>
              <w:szCs w:val="22"/>
            </w:rPr>
            <w:t xml:space="preserve">.  </w:t>
          </w:r>
          <w:r w:rsidR="00F533B3">
            <w:rPr>
              <w:sz w:val="22"/>
              <w:szCs w:val="22"/>
            </w:rPr>
            <w:t>W</w:t>
          </w:r>
          <w:r w:rsidR="00B4151E">
            <w:rPr>
              <w:sz w:val="22"/>
              <w:szCs w:val="22"/>
            </w:rPr>
            <w:t xml:space="preserve">astewater and manure holding facilities and application areas are reviewed to ensure that </w:t>
          </w:r>
          <w:r w:rsidR="00D424DF">
            <w:rPr>
              <w:sz w:val="22"/>
              <w:szCs w:val="22"/>
            </w:rPr>
            <w:t>adequate buffers are maintain</w:t>
          </w:r>
          <w:r>
            <w:rPr>
              <w:sz w:val="22"/>
              <w:szCs w:val="22"/>
            </w:rPr>
            <w:t>ed</w:t>
          </w:r>
          <w:r w:rsidR="00D424DF">
            <w:rPr>
              <w:sz w:val="22"/>
              <w:szCs w:val="22"/>
            </w:rPr>
            <w:t xml:space="preserve"> from surface waters.  The N</w:t>
          </w:r>
          <w:r w:rsidR="00F533B3">
            <w:rPr>
              <w:sz w:val="22"/>
              <w:szCs w:val="22"/>
            </w:rPr>
            <w:t xml:space="preserve">utrient </w:t>
          </w:r>
          <w:r w:rsidR="00D424DF">
            <w:rPr>
              <w:sz w:val="22"/>
              <w:szCs w:val="22"/>
            </w:rPr>
            <w:t>M</w:t>
          </w:r>
          <w:r w:rsidR="00F533B3">
            <w:rPr>
              <w:sz w:val="22"/>
              <w:szCs w:val="22"/>
            </w:rPr>
            <w:t xml:space="preserve">anagement </w:t>
          </w:r>
          <w:r w:rsidR="00D424DF">
            <w:rPr>
              <w:sz w:val="22"/>
              <w:szCs w:val="22"/>
            </w:rPr>
            <w:t>P</w:t>
          </w:r>
          <w:r w:rsidR="00F533B3">
            <w:rPr>
              <w:sz w:val="22"/>
              <w:szCs w:val="22"/>
            </w:rPr>
            <w:t>lan</w:t>
          </w:r>
          <w:r w:rsidR="00D424DF">
            <w:rPr>
              <w:sz w:val="22"/>
              <w:szCs w:val="22"/>
            </w:rPr>
            <w:t xml:space="preserve"> review</w:t>
          </w:r>
          <w:r w:rsidR="00C44BB7">
            <w:rPr>
              <w:sz w:val="22"/>
              <w:szCs w:val="22"/>
            </w:rPr>
            <w:t>s</w:t>
          </w:r>
          <w:r w:rsidR="00D424DF">
            <w:rPr>
              <w:sz w:val="22"/>
              <w:szCs w:val="22"/>
            </w:rPr>
            <w:t xml:space="preserve"> </w:t>
          </w:r>
          <w:r w:rsidR="002E0E85">
            <w:rPr>
              <w:sz w:val="22"/>
              <w:szCs w:val="22"/>
            </w:rPr>
            <w:t>e</w:t>
          </w:r>
          <w:r w:rsidR="00D424DF">
            <w:rPr>
              <w:sz w:val="22"/>
              <w:szCs w:val="22"/>
            </w:rPr>
            <w:t xml:space="preserve">nsure that nutrients are not applied </w:t>
          </w:r>
          <w:r w:rsidR="00B4151E">
            <w:rPr>
              <w:sz w:val="22"/>
              <w:szCs w:val="22"/>
            </w:rPr>
            <w:t xml:space="preserve">at a rate </w:t>
          </w:r>
          <w:r w:rsidR="00D424DF">
            <w:rPr>
              <w:sz w:val="22"/>
              <w:szCs w:val="22"/>
            </w:rPr>
            <w:t xml:space="preserve">higher than </w:t>
          </w:r>
          <w:r w:rsidR="00B4151E">
            <w:rPr>
              <w:sz w:val="22"/>
              <w:szCs w:val="22"/>
            </w:rPr>
            <w:t>can be utilized by crops</w:t>
          </w:r>
          <w:r w:rsidR="00D424DF">
            <w:rPr>
              <w:sz w:val="22"/>
              <w:szCs w:val="22"/>
            </w:rPr>
            <w:t xml:space="preserve">.  </w:t>
          </w:r>
          <w:r w:rsidR="00C44BB7">
            <w:rPr>
              <w:sz w:val="22"/>
              <w:szCs w:val="22"/>
            </w:rPr>
            <w:t>The</w:t>
          </w:r>
          <w:r w:rsidR="00D424DF">
            <w:rPr>
              <w:sz w:val="22"/>
              <w:szCs w:val="22"/>
            </w:rPr>
            <w:t xml:space="preserve"> engineering </w:t>
          </w:r>
          <w:r w:rsidR="00D424DF">
            <w:rPr>
              <w:sz w:val="22"/>
              <w:szCs w:val="22"/>
            </w:rPr>
            <w:lastRenderedPageBreak/>
            <w:t xml:space="preserve">review verifies </w:t>
          </w:r>
          <w:r w:rsidR="00C44BB7">
            <w:rPr>
              <w:sz w:val="22"/>
              <w:szCs w:val="22"/>
            </w:rPr>
            <w:t xml:space="preserve">that </w:t>
          </w:r>
          <w:r w:rsidR="00D424DF">
            <w:rPr>
              <w:sz w:val="22"/>
              <w:szCs w:val="22"/>
            </w:rPr>
            <w:t xml:space="preserve">the RCSs are designed </w:t>
          </w:r>
          <w:r w:rsidR="00B4151E">
            <w:rPr>
              <w:sz w:val="22"/>
              <w:szCs w:val="22"/>
            </w:rPr>
            <w:t xml:space="preserve">with adequate capacity to store process generated wastewater and manure, </w:t>
          </w:r>
          <w:r w:rsidR="00F533B3">
            <w:rPr>
              <w:sz w:val="22"/>
              <w:szCs w:val="22"/>
            </w:rPr>
            <w:t xml:space="preserve">to </w:t>
          </w:r>
          <w:r w:rsidR="00D424DF">
            <w:rPr>
              <w:sz w:val="22"/>
              <w:szCs w:val="22"/>
            </w:rPr>
            <w:t xml:space="preserve">hold </w:t>
          </w:r>
          <w:r w:rsidR="00B4151E">
            <w:rPr>
              <w:sz w:val="22"/>
              <w:szCs w:val="22"/>
            </w:rPr>
            <w:t>rainfall runoff from the</w:t>
          </w:r>
          <w:r w:rsidR="00D424DF">
            <w:rPr>
              <w:sz w:val="22"/>
              <w:szCs w:val="22"/>
            </w:rPr>
            <w:t xml:space="preserve"> design storm event</w:t>
          </w:r>
          <w:r w:rsidR="00C44BB7">
            <w:rPr>
              <w:sz w:val="22"/>
              <w:szCs w:val="22"/>
            </w:rPr>
            <w:t>s,</w:t>
          </w:r>
          <w:r w:rsidR="00F533B3">
            <w:rPr>
              <w:sz w:val="22"/>
              <w:szCs w:val="22"/>
            </w:rPr>
            <w:t xml:space="preserve"> and </w:t>
          </w:r>
          <w:r w:rsidR="002E0E85">
            <w:rPr>
              <w:sz w:val="22"/>
              <w:szCs w:val="22"/>
            </w:rPr>
            <w:t xml:space="preserve">provide </w:t>
          </w:r>
          <w:r w:rsidR="00F533B3">
            <w:rPr>
              <w:sz w:val="22"/>
              <w:szCs w:val="22"/>
            </w:rPr>
            <w:t>for odor control.</w:t>
          </w:r>
        </w:p>
        <w:p w14:paraId="35E77180" w14:textId="77777777" w:rsidR="007E1857" w:rsidRPr="00873038" w:rsidRDefault="007E1857" w:rsidP="00104AFE">
          <w:pPr>
            <w:pStyle w:val="BodyText"/>
            <w:spacing w:before="120"/>
            <w:rPr>
              <w:sz w:val="22"/>
              <w:szCs w:val="22"/>
              <w:highlight w:val="yellow"/>
            </w:rPr>
          </w:pPr>
          <w:r>
            <w:rPr>
              <w:sz w:val="22"/>
              <w:szCs w:val="22"/>
            </w:rPr>
            <w:t xml:space="preserve">As correctly noted by </w:t>
          </w:r>
          <w:r w:rsidR="00417E18">
            <w:rPr>
              <w:sz w:val="22"/>
              <w:szCs w:val="22"/>
            </w:rPr>
            <w:t xml:space="preserve">Mr. </w:t>
          </w:r>
          <w:r>
            <w:rPr>
              <w:sz w:val="22"/>
              <w:szCs w:val="22"/>
            </w:rPr>
            <w:t xml:space="preserve">Riffe, the ED has the authority to </w:t>
          </w:r>
          <w:r w:rsidR="000C0A24">
            <w:rPr>
              <w:sz w:val="22"/>
              <w:szCs w:val="22"/>
            </w:rPr>
            <w:t>require facilities</w:t>
          </w:r>
          <w:r>
            <w:rPr>
              <w:sz w:val="22"/>
              <w:szCs w:val="22"/>
            </w:rPr>
            <w:t xml:space="preserve"> </w:t>
          </w:r>
          <w:r w:rsidR="009B7482">
            <w:rPr>
              <w:sz w:val="22"/>
              <w:szCs w:val="22"/>
            </w:rPr>
            <w:t xml:space="preserve">to </w:t>
          </w:r>
          <w:r w:rsidR="009032AC">
            <w:rPr>
              <w:sz w:val="22"/>
              <w:szCs w:val="22"/>
            </w:rPr>
            <w:t xml:space="preserve">obtain </w:t>
          </w:r>
          <w:r w:rsidR="009B7482">
            <w:rPr>
              <w:sz w:val="22"/>
              <w:szCs w:val="22"/>
            </w:rPr>
            <w:t>authoriz</w:t>
          </w:r>
          <w:r w:rsidR="009032AC">
            <w:rPr>
              <w:sz w:val="22"/>
              <w:szCs w:val="22"/>
            </w:rPr>
            <w:t>ation</w:t>
          </w:r>
          <w:r w:rsidR="009B7482">
            <w:rPr>
              <w:sz w:val="22"/>
              <w:szCs w:val="22"/>
            </w:rPr>
            <w:t xml:space="preserve"> under an individual permit. However, </w:t>
          </w:r>
          <w:r w:rsidR="009032AC">
            <w:rPr>
              <w:sz w:val="22"/>
              <w:szCs w:val="22"/>
            </w:rPr>
            <w:t>historical compliance problems, significant site-specific environmental problems, impaired watershed</w:t>
          </w:r>
          <w:r w:rsidR="00C44BB7">
            <w:rPr>
              <w:sz w:val="22"/>
              <w:szCs w:val="22"/>
            </w:rPr>
            <w:t>s</w:t>
          </w:r>
          <w:r w:rsidR="009032AC">
            <w:rPr>
              <w:sz w:val="22"/>
              <w:szCs w:val="22"/>
            </w:rPr>
            <w:t xml:space="preserve"> with an approved TMDL, </w:t>
          </w:r>
          <w:r w:rsidR="00C44BB7">
            <w:rPr>
              <w:sz w:val="22"/>
              <w:szCs w:val="22"/>
            </w:rPr>
            <w:t xml:space="preserve">and </w:t>
          </w:r>
          <w:r w:rsidR="009032AC">
            <w:rPr>
              <w:sz w:val="22"/>
              <w:szCs w:val="22"/>
            </w:rPr>
            <w:t xml:space="preserve">complex </w:t>
          </w:r>
          <w:r w:rsidR="009032AC" w:rsidRPr="00873038">
            <w:rPr>
              <w:sz w:val="22"/>
              <w:szCs w:val="22"/>
            </w:rPr>
            <w:t xml:space="preserve">operations that require permit conditions </w:t>
          </w:r>
          <w:r w:rsidR="00C44BB7">
            <w:rPr>
              <w:sz w:val="22"/>
              <w:szCs w:val="22"/>
            </w:rPr>
            <w:t xml:space="preserve">to be </w:t>
          </w:r>
          <w:r w:rsidR="00C44BB7" w:rsidRPr="00873038">
            <w:rPr>
              <w:sz w:val="22"/>
              <w:szCs w:val="22"/>
            </w:rPr>
            <w:t>consolidat</w:t>
          </w:r>
          <w:r w:rsidR="00C44BB7">
            <w:rPr>
              <w:sz w:val="22"/>
              <w:szCs w:val="22"/>
            </w:rPr>
            <w:t xml:space="preserve">ed </w:t>
          </w:r>
          <w:r w:rsidR="009032AC" w:rsidRPr="00873038">
            <w:rPr>
              <w:sz w:val="22"/>
              <w:szCs w:val="22"/>
            </w:rPr>
            <w:t xml:space="preserve">into one comprehensive permit </w:t>
          </w:r>
          <w:r w:rsidR="009032AC">
            <w:rPr>
              <w:sz w:val="22"/>
              <w:szCs w:val="22"/>
            </w:rPr>
            <w:t>for the</w:t>
          </w:r>
          <w:r w:rsidR="009032AC" w:rsidRPr="00873038">
            <w:rPr>
              <w:sz w:val="22"/>
              <w:szCs w:val="22"/>
            </w:rPr>
            <w:t xml:space="preserve"> discharge </w:t>
          </w:r>
          <w:r w:rsidR="009032AC">
            <w:rPr>
              <w:sz w:val="22"/>
              <w:szCs w:val="22"/>
            </w:rPr>
            <w:t>to</w:t>
          </w:r>
          <w:r w:rsidR="009032AC" w:rsidRPr="00873038">
            <w:rPr>
              <w:sz w:val="22"/>
              <w:szCs w:val="22"/>
            </w:rPr>
            <w:t xml:space="preserve"> meet water quality standard</w:t>
          </w:r>
          <w:r w:rsidR="009032AC">
            <w:rPr>
              <w:sz w:val="22"/>
              <w:szCs w:val="22"/>
            </w:rPr>
            <w:t>s</w:t>
          </w:r>
          <w:r w:rsidR="00C44BB7">
            <w:rPr>
              <w:sz w:val="22"/>
              <w:szCs w:val="22"/>
            </w:rPr>
            <w:t>,</w:t>
          </w:r>
          <w:r w:rsidR="009032AC">
            <w:rPr>
              <w:sz w:val="22"/>
              <w:szCs w:val="22"/>
            </w:rPr>
            <w:t xml:space="preserve"> </w:t>
          </w:r>
          <w:r w:rsidR="009B7482">
            <w:rPr>
              <w:sz w:val="22"/>
              <w:szCs w:val="22"/>
            </w:rPr>
            <w:t xml:space="preserve">are </w:t>
          </w:r>
          <w:r w:rsidR="009032AC">
            <w:rPr>
              <w:sz w:val="22"/>
              <w:szCs w:val="22"/>
            </w:rPr>
            <w:t xml:space="preserve">the applicable </w:t>
          </w:r>
          <w:r w:rsidR="009B7482">
            <w:rPr>
              <w:sz w:val="22"/>
              <w:szCs w:val="22"/>
            </w:rPr>
            <w:t xml:space="preserve">criteria for </w:t>
          </w:r>
          <w:r w:rsidR="00C44BB7">
            <w:rPr>
              <w:sz w:val="22"/>
              <w:szCs w:val="22"/>
            </w:rPr>
            <w:t>requiring individual permits</w:t>
          </w:r>
          <w:r w:rsidR="00873038" w:rsidRPr="00873038">
            <w:rPr>
              <w:sz w:val="22"/>
              <w:szCs w:val="22"/>
            </w:rPr>
            <w:t>.</w:t>
          </w:r>
          <w:r w:rsidR="009032AC">
            <w:rPr>
              <w:sz w:val="22"/>
              <w:szCs w:val="22"/>
            </w:rPr>
            <w:t xml:space="preserve"> Absent the criteria described above, the ED cannot force a facility to obtain authorization under an individual permit.</w:t>
          </w:r>
        </w:p>
        <w:p w14:paraId="0AFA1112" w14:textId="77777777" w:rsidR="00711F2E" w:rsidRPr="00D42C07" w:rsidRDefault="00711F2E" w:rsidP="00EE4CE6">
          <w:pPr>
            <w:pStyle w:val="BodyText"/>
            <w:spacing w:before="120"/>
            <w:rPr>
              <w:b/>
              <w:caps/>
              <w:sz w:val="22"/>
              <w:szCs w:val="22"/>
              <w:u w:val="single"/>
            </w:rPr>
          </w:pPr>
          <w:r w:rsidRPr="00D42C07">
            <w:rPr>
              <w:b/>
              <w:caps/>
              <w:sz w:val="22"/>
              <w:szCs w:val="22"/>
              <w:u w:val="single"/>
            </w:rPr>
            <w:t>Comment 7</w:t>
          </w:r>
        </w:p>
        <w:p w14:paraId="366DA3A6" w14:textId="77777777" w:rsidR="00711F2E" w:rsidRPr="004456ED" w:rsidRDefault="00C44BB7" w:rsidP="00EE4CE6">
          <w:pPr>
            <w:pStyle w:val="BodyText"/>
            <w:spacing w:before="120"/>
            <w:rPr>
              <w:sz w:val="22"/>
              <w:szCs w:val="22"/>
            </w:rPr>
          </w:pPr>
          <w:bookmarkStart w:id="1" w:name="_Hlk6843003"/>
          <w:r>
            <w:rPr>
              <w:sz w:val="22"/>
              <w:szCs w:val="22"/>
            </w:rPr>
            <w:t>Andy</w:t>
          </w:r>
          <w:r w:rsidR="00417E18" w:rsidRPr="004456ED">
            <w:rPr>
              <w:sz w:val="22"/>
              <w:szCs w:val="22"/>
            </w:rPr>
            <w:t xml:space="preserve"> </w:t>
          </w:r>
          <w:r w:rsidR="00711F2E" w:rsidRPr="004456ED">
            <w:rPr>
              <w:sz w:val="22"/>
              <w:szCs w:val="22"/>
            </w:rPr>
            <w:t xml:space="preserve">Riffe </w:t>
          </w:r>
          <w:r w:rsidR="00964FDD">
            <w:rPr>
              <w:sz w:val="22"/>
              <w:szCs w:val="22"/>
            </w:rPr>
            <w:t>raised concerns about</w:t>
          </w:r>
          <w:r w:rsidRPr="004456ED">
            <w:rPr>
              <w:sz w:val="22"/>
              <w:szCs w:val="22"/>
            </w:rPr>
            <w:t xml:space="preserve"> </w:t>
          </w:r>
          <w:r w:rsidR="00711F2E" w:rsidRPr="004456ED">
            <w:rPr>
              <w:sz w:val="22"/>
              <w:szCs w:val="22"/>
            </w:rPr>
            <w:t>nuisance odor</w:t>
          </w:r>
          <w:r w:rsidR="008E7D61" w:rsidRPr="004456ED">
            <w:rPr>
              <w:sz w:val="22"/>
              <w:szCs w:val="22"/>
            </w:rPr>
            <w:t>s</w:t>
          </w:r>
          <w:r w:rsidR="00DE5631">
            <w:rPr>
              <w:sz w:val="22"/>
              <w:szCs w:val="22"/>
            </w:rPr>
            <w:t>,</w:t>
          </w:r>
          <w:r w:rsidR="009032AC">
            <w:rPr>
              <w:sz w:val="22"/>
              <w:szCs w:val="22"/>
            </w:rPr>
            <w:t xml:space="preserve"> the </w:t>
          </w:r>
          <w:r w:rsidR="008E7D61" w:rsidRPr="004456ED">
            <w:rPr>
              <w:sz w:val="22"/>
              <w:szCs w:val="22"/>
            </w:rPr>
            <w:t>proliferation of CAFOs in the Panhandle region</w:t>
          </w:r>
          <w:r w:rsidR="00964FDD">
            <w:rPr>
              <w:sz w:val="22"/>
              <w:szCs w:val="22"/>
            </w:rPr>
            <w:t>,</w:t>
          </w:r>
          <w:r w:rsidR="00DE5631">
            <w:rPr>
              <w:sz w:val="22"/>
              <w:szCs w:val="22"/>
            </w:rPr>
            <w:t xml:space="preserve"> and the cumulative effect of the </w:t>
          </w:r>
          <w:r w:rsidR="009032AC">
            <w:rPr>
              <w:sz w:val="22"/>
              <w:szCs w:val="22"/>
            </w:rPr>
            <w:t xml:space="preserve">odors </w:t>
          </w:r>
          <w:r w:rsidR="00DE5631">
            <w:rPr>
              <w:sz w:val="22"/>
              <w:szCs w:val="22"/>
            </w:rPr>
            <w:t xml:space="preserve">from the existing CAFOs and new </w:t>
          </w:r>
          <w:r w:rsidR="009032AC">
            <w:rPr>
              <w:sz w:val="22"/>
              <w:szCs w:val="22"/>
            </w:rPr>
            <w:t xml:space="preserve">CAFOs </w:t>
          </w:r>
          <w:r w:rsidR="00DE5631">
            <w:rPr>
              <w:sz w:val="22"/>
              <w:szCs w:val="22"/>
            </w:rPr>
            <w:t>that will be authorized in the area</w:t>
          </w:r>
          <w:r w:rsidR="008E7D61" w:rsidRPr="004456ED">
            <w:rPr>
              <w:sz w:val="22"/>
              <w:szCs w:val="22"/>
            </w:rPr>
            <w:t>.</w:t>
          </w:r>
          <w:r w:rsidR="00711F2E" w:rsidRPr="004456ED">
            <w:rPr>
              <w:sz w:val="22"/>
              <w:szCs w:val="22"/>
            </w:rPr>
            <w:t xml:space="preserve"> </w:t>
          </w:r>
          <w:r w:rsidR="009032AC">
            <w:rPr>
              <w:sz w:val="22"/>
              <w:szCs w:val="22"/>
            </w:rPr>
            <w:t>Mr. Riffe request</w:t>
          </w:r>
          <w:r>
            <w:rPr>
              <w:sz w:val="22"/>
              <w:szCs w:val="22"/>
            </w:rPr>
            <w:t>ed</w:t>
          </w:r>
          <w:r w:rsidR="009032AC">
            <w:rPr>
              <w:sz w:val="22"/>
              <w:szCs w:val="22"/>
            </w:rPr>
            <w:t xml:space="preserve"> </w:t>
          </w:r>
          <w:r w:rsidR="00B3192F">
            <w:rPr>
              <w:sz w:val="22"/>
              <w:szCs w:val="22"/>
            </w:rPr>
            <w:t>significantly greater set-back distances between CAFOs and neighbors</w:t>
          </w:r>
          <w:bookmarkEnd w:id="1"/>
          <w:r w:rsidR="00B3192F">
            <w:rPr>
              <w:sz w:val="22"/>
              <w:szCs w:val="22"/>
            </w:rPr>
            <w:t>.</w:t>
          </w:r>
        </w:p>
        <w:p w14:paraId="272BF56B" w14:textId="77777777" w:rsidR="008E7D61" w:rsidRPr="00D42C07" w:rsidRDefault="008E7D61" w:rsidP="00EE4CE6">
          <w:pPr>
            <w:pStyle w:val="BodyText"/>
            <w:spacing w:before="120"/>
            <w:rPr>
              <w:b/>
              <w:caps/>
              <w:sz w:val="22"/>
              <w:szCs w:val="22"/>
              <w:u w:val="single"/>
            </w:rPr>
          </w:pPr>
          <w:r w:rsidRPr="00D42C07">
            <w:rPr>
              <w:b/>
              <w:caps/>
              <w:sz w:val="22"/>
              <w:szCs w:val="22"/>
              <w:u w:val="single"/>
            </w:rPr>
            <w:t>Response 7</w:t>
          </w:r>
        </w:p>
        <w:p w14:paraId="5C72C2BE" w14:textId="77777777" w:rsidR="00A05AC4" w:rsidRDefault="00A05AC4" w:rsidP="008E7D61">
          <w:pPr>
            <w:pStyle w:val="BodyText"/>
            <w:rPr>
              <w:sz w:val="22"/>
              <w:szCs w:val="22"/>
            </w:rPr>
          </w:pPr>
          <w:r>
            <w:rPr>
              <w:sz w:val="22"/>
              <w:szCs w:val="22"/>
            </w:rPr>
            <w:t xml:space="preserve">The concerns raised by Mr. Riffe that are within the authority of the TCEQ to address in the permitting process are already addressed by the CAFO GP provisions described below. Therefore, no changes to the CAFO GP were made in response to Mr. Riffe’s comments. </w:t>
          </w:r>
        </w:p>
        <w:p w14:paraId="39A5C7B1" w14:textId="77777777" w:rsidR="008E7D61" w:rsidRPr="004456ED" w:rsidRDefault="008E7D61" w:rsidP="008E7D61">
          <w:pPr>
            <w:pStyle w:val="BodyText"/>
            <w:rPr>
              <w:sz w:val="22"/>
              <w:szCs w:val="22"/>
            </w:rPr>
          </w:pPr>
          <w:r w:rsidRPr="004456ED">
            <w:rPr>
              <w:sz w:val="22"/>
              <w:szCs w:val="22"/>
            </w:rPr>
            <w:t xml:space="preserve">The </w:t>
          </w:r>
          <w:r w:rsidR="00C44BB7">
            <w:rPr>
              <w:sz w:val="22"/>
              <w:szCs w:val="22"/>
            </w:rPr>
            <w:t xml:space="preserve">CAFO </w:t>
          </w:r>
          <w:r w:rsidRPr="004456ED">
            <w:rPr>
              <w:sz w:val="22"/>
              <w:szCs w:val="22"/>
            </w:rPr>
            <w:t xml:space="preserve">GP requires that potential pollutant sources be identified, and </w:t>
          </w:r>
          <w:r w:rsidR="00625E9B">
            <w:rPr>
              <w:sz w:val="22"/>
              <w:szCs w:val="22"/>
            </w:rPr>
            <w:t xml:space="preserve">that </w:t>
          </w:r>
          <w:r w:rsidRPr="004456ED">
            <w:rPr>
              <w:sz w:val="22"/>
              <w:szCs w:val="22"/>
            </w:rPr>
            <w:t xml:space="preserve">PPP be developed and implemented for proper operation and maintenance of the facility so as not to create nuisance conditions. The </w:t>
          </w:r>
          <w:r w:rsidR="00C44BB7">
            <w:rPr>
              <w:sz w:val="22"/>
              <w:szCs w:val="22"/>
            </w:rPr>
            <w:t xml:space="preserve">CAFO </w:t>
          </w:r>
          <w:r w:rsidRPr="004456ED">
            <w:rPr>
              <w:sz w:val="22"/>
              <w:szCs w:val="22"/>
            </w:rPr>
            <w:t>GP also requires that CAFOs operate in such a manner as to prevent the creation of a nuisance, and defines “nuisance” as:</w:t>
          </w:r>
        </w:p>
        <w:p w14:paraId="27EAB4E2" w14:textId="77777777" w:rsidR="008E7D61" w:rsidRPr="004456ED" w:rsidRDefault="008E7D61" w:rsidP="008E7D61">
          <w:pPr>
            <w:pStyle w:val="BodyText"/>
            <w:ind w:left="540"/>
            <w:rPr>
              <w:sz w:val="22"/>
              <w:szCs w:val="22"/>
            </w:rPr>
          </w:pPr>
          <w:r w:rsidRPr="004456ED">
            <w:rPr>
              <w:sz w:val="22"/>
              <w:szCs w:val="22"/>
            </w:rPr>
            <w:t>“Any discharge of air contaminant(s), including but not limited to odors, of sufficient concentration and duration that are or may tend to be injurious to or which adversely affects human health or welfare, animal life, vegetation, or property, or which interferes with the normal use and enjoyment of animal life, vegetation, or property.”</w:t>
          </w:r>
        </w:p>
        <w:p w14:paraId="722A04EF" w14:textId="77777777" w:rsidR="00552939" w:rsidRPr="004456ED" w:rsidRDefault="00552939" w:rsidP="00EE4CE6">
          <w:pPr>
            <w:pStyle w:val="BodyText"/>
            <w:spacing w:before="120"/>
            <w:rPr>
              <w:sz w:val="22"/>
              <w:szCs w:val="22"/>
            </w:rPr>
          </w:pPr>
          <w:r w:rsidRPr="004456ED">
            <w:rPr>
              <w:sz w:val="22"/>
              <w:szCs w:val="22"/>
            </w:rPr>
            <w:t xml:space="preserve">Regarding odor, Part II.C.10 of the </w:t>
          </w:r>
          <w:r w:rsidR="005F04B1">
            <w:rPr>
              <w:sz w:val="22"/>
              <w:szCs w:val="22"/>
            </w:rPr>
            <w:t xml:space="preserve">CAFO </w:t>
          </w:r>
          <w:r w:rsidRPr="004456ED">
            <w:rPr>
              <w:sz w:val="22"/>
              <w:szCs w:val="22"/>
            </w:rPr>
            <w:t>GP includes requirements for CAFOs.</w:t>
          </w:r>
        </w:p>
        <w:p w14:paraId="510C45ED" w14:textId="77777777" w:rsidR="00552939" w:rsidRPr="004456ED" w:rsidRDefault="00552939" w:rsidP="00552939">
          <w:pPr>
            <w:pStyle w:val="BodyText"/>
            <w:spacing w:before="120"/>
            <w:rPr>
              <w:sz w:val="22"/>
              <w:szCs w:val="22"/>
            </w:rPr>
          </w:pPr>
          <w:r w:rsidRPr="004456ED">
            <w:rPr>
              <w:sz w:val="22"/>
              <w:szCs w:val="22"/>
            </w:rPr>
            <w:t>Air quality authorization under the Texas Clean Air Act, Texas Health and Safety Code §382.051, is required for all CAFOs, regardless of their size. Depending on its specific characteristics, a CAFO may obtain air quality authorization in one of three ways:</w:t>
          </w:r>
        </w:p>
        <w:p w14:paraId="5EE36DBC" w14:textId="77777777" w:rsidR="00552939" w:rsidRPr="004456ED" w:rsidRDefault="00552939" w:rsidP="00552939">
          <w:pPr>
            <w:pStyle w:val="BodyText"/>
            <w:spacing w:before="120"/>
            <w:ind w:left="540" w:hanging="540"/>
            <w:rPr>
              <w:sz w:val="22"/>
              <w:szCs w:val="22"/>
            </w:rPr>
          </w:pPr>
          <w:r w:rsidRPr="004456ED">
            <w:rPr>
              <w:sz w:val="22"/>
              <w:szCs w:val="22"/>
            </w:rPr>
            <w:t>(a)</w:t>
          </w:r>
          <w:r w:rsidRPr="004456ED">
            <w:rPr>
              <w:sz w:val="22"/>
              <w:szCs w:val="22"/>
            </w:rPr>
            <w:tab/>
            <w:t>by meeting the requirements of a permit-by-rule under 30 TAC Chapter 106, Subchapter F (relating to Animal Confinement);</w:t>
          </w:r>
        </w:p>
        <w:p w14:paraId="55F5C0ED" w14:textId="77777777" w:rsidR="00552939" w:rsidRPr="004456ED" w:rsidRDefault="00552939" w:rsidP="00552939">
          <w:pPr>
            <w:pStyle w:val="BodyText"/>
            <w:spacing w:before="120"/>
            <w:ind w:left="540" w:hanging="540"/>
            <w:rPr>
              <w:sz w:val="22"/>
              <w:szCs w:val="22"/>
            </w:rPr>
          </w:pPr>
          <w:r w:rsidRPr="004456ED">
            <w:rPr>
              <w:sz w:val="22"/>
              <w:szCs w:val="22"/>
            </w:rPr>
            <w:t>(b)</w:t>
          </w:r>
          <w:r w:rsidRPr="004456ED">
            <w:rPr>
              <w:sz w:val="22"/>
              <w:szCs w:val="22"/>
            </w:rPr>
            <w:tab/>
            <w:t>by obtaining an individual permit under 30 TAC Chapter 116 (relating to Control of Air Pollution by Permits for New Construction or Modification); or</w:t>
          </w:r>
        </w:p>
        <w:p w14:paraId="4FF7390F" w14:textId="77777777" w:rsidR="00552939" w:rsidRPr="004456ED" w:rsidRDefault="00552939" w:rsidP="00552939">
          <w:pPr>
            <w:pStyle w:val="BodyText"/>
            <w:spacing w:before="120"/>
            <w:ind w:left="540" w:hanging="540"/>
            <w:rPr>
              <w:sz w:val="22"/>
              <w:szCs w:val="22"/>
            </w:rPr>
          </w:pPr>
          <w:r w:rsidRPr="004456ED">
            <w:rPr>
              <w:sz w:val="22"/>
              <w:szCs w:val="22"/>
            </w:rPr>
            <w:t>(c)</w:t>
          </w:r>
          <w:r w:rsidRPr="004456ED">
            <w:rPr>
              <w:sz w:val="22"/>
              <w:szCs w:val="22"/>
            </w:rPr>
            <w:tab/>
            <w:t>by meeting the requirements of the air standard permit outlined in 30 TAC Chapter 321.43 (relating to Air Standard Permit Authorization for Concentrated Animal Feeding Operations).</w:t>
          </w:r>
        </w:p>
        <w:p w14:paraId="5A54E30B" w14:textId="77777777" w:rsidR="008E7D61" w:rsidRPr="004838CE" w:rsidRDefault="00552939" w:rsidP="00EE4CE6">
          <w:pPr>
            <w:pStyle w:val="BodyText"/>
            <w:spacing w:before="120"/>
            <w:rPr>
              <w:sz w:val="22"/>
              <w:szCs w:val="22"/>
            </w:rPr>
          </w:pPr>
          <w:r w:rsidRPr="004838CE">
            <w:rPr>
              <w:sz w:val="22"/>
              <w:szCs w:val="22"/>
            </w:rPr>
            <w:t xml:space="preserve">The </w:t>
          </w:r>
          <w:r w:rsidR="005F04B1">
            <w:rPr>
              <w:sz w:val="22"/>
              <w:szCs w:val="22"/>
            </w:rPr>
            <w:t xml:space="preserve">CAFO </w:t>
          </w:r>
          <w:r w:rsidRPr="004838CE">
            <w:rPr>
              <w:sz w:val="22"/>
              <w:szCs w:val="22"/>
            </w:rPr>
            <w:t xml:space="preserve">GP requires </w:t>
          </w:r>
          <w:r w:rsidR="008E7D61" w:rsidRPr="004838CE">
            <w:rPr>
              <w:sz w:val="22"/>
              <w:szCs w:val="22"/>
            </w:rPr>
            <w:t>CAFOs to operate according to the requirements of the Air Standard Permit for Animal Feeding Operations (See 30 Texas Administrative Code (TAC) §321.43).</w:t>
          </w:r>
          <w:r w:rsidR="00417E18" w:rsidRPr="004838CE">
            <w:rPr>
              <w:sz w:val="22"/>
              <w:szCs w:val="22"/>
            </w:rPr>
            <w:t xml:space="preserve"> CAFOs are required to maintain the following buffer</w:t>
          </w:r>
          <w:r w:rsidR="004838CE">
            <w:rPr>
              <w:sz w:val="22"/>
              <w:szCs w:val="22"/>
            </w:rPr>
            <w:t xml:space="preserve"> distance</w:t>
          </w:r>
          <w:r w:rsidR="00417E18" w:rsidRPr="004838CE">
            <w:rPr>
              <w:sz w:val="22"/>
              <w:szCs w:val="22"/>
            </w:rPr>
            <w:t>s:</w:t>
          </w:r>
        </w:p>
        <w:p w14:paraId="0596FABC" w14:textId="77777777" w:rsidR="00155327" w:rsidRPr="004E6D1F" w:rsidRDefault="00155327" w:rsidP="00155327">
          <w:pPr>
            <w:pStyle w:val="BodyText"/>
            <w:ind w:left="540" w:hanging="540"/>
            <w:rPr>
              <w:sz w:val="22"/>
              <w:szCs w:val="22"/>
            </w:rPr>
          </w:pPr>
          <w:r w:rsidRPr="004E6D1F">
            <w:rPr>
              <w:sz w:val="22"/>
              <w:szCs w:val="22"/>
            </w:rPr>
            <w:t>1.</w:t>
          </w:r>
          <w:r>
            <w:rPr>
              <w:sz w:val="22"/>
              <w:szCs w:val="22"/>
            </w:rPr>
            <w:tab/>
          </w:r>
          <w:r w:rsidRPr="004E6D1F">
            <w:rPr>
              <w:sz w:val="22"/>
              <w:szCs w:val="22"/>
            </w:rPr>
            <w:t>Dry litter poultry facilities</w:t>
          </w:r>
        </w:p>
        <w:p w14:paraId="0C1DBAB1" w14:textId="77777777" w:rsidR="00155327" w:rsidRPr="00B24FD6" w:rsidRDefault="00155327" w:rsidP="00155327">
          <w:pPr>
            <w:pStyle w:val="BodyText"/>
            <w:rPr>
              <w:sz w:val="22"/>
              <w:szCs w:val="22"/>
            </w:rPr>
          </w:pPr>
          <w:r w:rsidRPr="00B24FD6">
            <w:rPr>
              <w:sz w:val="22"/>
              <w:szCs w:val="22"/>
            </w:rPr>
            <w:lastRenderedPageBreak/>
            <w:t>If applying litter to land associated with the poultry houses (on-farm application), the following considerations are to be taken into account:</w:t>
          </w:r>
        </w:p>
        <w:p w14:paraId="6B8FDB36" w14:textId="77777777" w:rsidR="00155327" w:rsidRPr="00B24FD6" w:rsidRDefault="00155327" w:rsidP="00155327">
          <w:pPr>
            <w:pStyle w:val="BodyText"/>
            <w:numPr>
              <w:ilvl w:val="0"/>
              <w:numId w:val="20"/>
            </w:numPr>
            <w:spacing w:before="120"/>
            <w:ind w:left="540" w:hanging="540"/>
            <w:rPr>
              <w:sz w:val="22"/>
              <w:szCs w:val="22"/>
            </w:rPr>
          </w:pPr>
          <w:r w:rsidRPr="00B24FD6">
            <w:rPr>
              <w:sz w:val="22"/>
              <w:szCs w:val="22"/>
            </w:rPr>
            <w:t>Do not apply litter within 100 feet of public roads.</w:t>
          </w:r>
        </w:p>
        <w:p w14:paraId="08D98854" w14:textId="77777777" w:rsidR="00155327" w:rsidRPr="00B24FD6" w:rsidRDefault="00155327" w:rsidP="00155327">
          <w:pPr>
            <w:pStyle w:val="BodyText"/>
            <w:numPr>
              <w:ilvl w:val="0"/>
              <w:numId w:val="20"/>
            </w:numPr>
            <w:spacing w:before="120"/>
            <w:ind w:left="540" w:hanging="540"/>
            <w:rPr>
              <w:sz w:val="22"/>
              <w:szCs w:val="22"/>
            </w:rPr>
          </w:pPr>
          <w:r w:rsidRPr="00B24FD6">
            <w:rPr>
              <w:sz w:val="22"/>
              <w:szCs w:val="22"/>
            </w:rPr>
            <w:t>Do not apply litter within 500 feet of any residence, school, park, place of worship or other facility used by the public.</w:t>
          </w:r>
        </w:p>
        <w:p w14:paraId="1C4FAC99" w14:textId="77777777" w:rsidR="00155327" w:rsidRPr="00B24FD6" w:rsidRDefault="00155327" w:rsidP="00155327">
          <w:pPr>
            <w:pStyle w:val="BodyText"/>
            <w:numPr>
              <w:ilvl w:val="0"/>
              <w:numId w:val="20"/>
            </w:numPr>
            <w:spacing w:before="120"/>
            <w:ind w:left="540" w:hanging="540"/>
            <w:rPr>
              <w:sz w:val="22"/>
              <w:szCs w:val="22"/>
            </w:rPr>
          </w:pPr>
          <w:r w:rsidRPr="00B24FD6">
            <w:rPr>
              <w:sz w:val="22"/>
              <w:szCs w:val="22"/>
            </w:rPr>
            <w:t>Application of litter during morning hours is preferable. Do not apply litter after 5:00 pm.</w:t>
          </w:r>
        </w:p>
        <w:p w14:paraId="379D3842" w14:textId="77777777" w:rsidR="00155327" w:rsidRPr="00B24FD6" w:rsidRDefault="00155327" w:rsidP="00155327">
          <w:pPr>
            <w:pStyle w:val="BodyText"/>
            <w:numPr>
              <w:ilvl w:val="0"/>
              <w:numId w:val="20"/>
            </w:numPr>
            <w:spacing w:before="120"/>
            <w:ind w:left="540" w:hanging="540"/>
            <w:rPr>
              <w:sz w:val="22"/>
              <w:szCs w:val="22"/>
            </w:rPr>
          </w:pPr>
          <w:r w:rsidRPr="00B24FD6">
            <w:rPr>
              <w:sz w:val="22"/>
              <w:szCs w:val="22"/>
            </w:rPr>
            <w:t>Do not apply litter on weekends or federal holidays that occur Monday-Friday if any residence, school, park, place of worship or other facility used by the public is located within 1,500 feet of the nearest edge of the application area.</w:t>
          </w:r>
        </w:p>
        <w:p w14:paraId="25840B2D" w14:textId="77777777" w:rsidR="00155327" w:rsidRPr="00B24FD6" w:rsidRDefault="00155327" w:rsidP="00155327">
          <w:pPr>
            <w:pStyle w:val="BodyText"/>
            <w:numPr>
              <w:ilvl w:val="0"/>
              <w:numId w:val="20"/>
            </w:numPr>
            <w:spacing w:before="120"/>
            <w:ind w:left="540" w:hanging="540"/>
            <w:rPr>
              <w:sz w:val="22"/>
              <w:szCs w:val="22"/>
            </w:rPr>
          </w:pPr>
          <w:r w:rsidRPr="00B24FD6">
            <w:rPr>
              <w:sz w:val="22"/>
              <w:szCs w:val="22"/>
            </w:rPr>
            <w:t>Do not apply litter while the wind direction is from any point of application toward a residence, school, park, place of worship or other facility used by the public within 1,500 feet of the nearest edge of the application area.</w:t>
          </w:r>
        </w:p>
        <w:p w14:paraId="55AD96F6" w14:textId="77777777" w:rsidR="00155327" w:rsidRPr="00B24FD6" w:rsidRDefault="00155327" w:rsidP="00155327">
          <w:pPr>
            <w:pStyle w:val="BodyText"/>
            <w:numPr>
              <w:ilvl w:val="0"/>
              <w:numId w:val="20"/>
            </w:numPr>
            <w:spacing w:before="120"/>
            <w:ind w:left="540" w:hanging="540"/>
            <w:rPr>
              <w:sz w:val="22"/>
              <w:szCs w:val="22"/>
            </w:rPr>
          </w:pPr>
          <w:r w:rsidRPr="00B24FD6">
            <w:rPr>
              <w:sz w:val="22"/>
              <w:szCs w:val="22"/>
            </w:rPr>
            <w:t>Do not apply litter during any rainfall event or if rain is imminent.</w:t>
          </w:r>
        </w:p>
        <w:p w14:paraId="7F853E7E" w14:textId="77777777" w:rsidR="00155327" w:rsidRPr="00B24FD6" w:rsidRDefault="00155327" w:rsidP="00155327">
          <w:pPr>
            <w:pStyle w:val="BodyText"/>
            <w:numPr>
              <w:ilvl w:val="0"/>
              <w:numId w:val="20"/>
            </w:numPr>
            <w:spacing w:before="120"/>
            <w:ind w:left="540" w:hanging="540"/>
            <w:rPr>
              <w:sz w:val="22"/>
              <w:szCs w:val="22"/>
            </w:rPr>
          </w:pPr>
          <w:r w:rsidRPr="00B24FD6">
            <w:rPr>
              <w:sz w:val="22"/>
              <w:szCs w:val="22"/>
            </w:rPr>
            <w:t>Cover all loads of litter if being transported on public roads.</w:t>
          </w:r>
        </w:p>
        <w:p w14:paraId="35BB73E4" w14:textId="77777777" w:rsidR="00155327" w:rsidRPr="00B24FD6" w:rsidRDefault="00155327" w:rsidP="00155327">
          <w:pPr>
            <w:pStyle w:val="BodyText"/>
            <w:numPr>
              <w:ilvl w:val="0"/>
              <w:numId w:val="20"/>
            </w:numPr>
            <w:spacing w:before="120"/>
            <w:ind w:left="540" w:hanging="540"/>
            <w:rPr>
              <w:sz w:val="22"/>
              <w:szCs w:val="22"/>
            </w:rPr>
          </w:pPr>
          <w:r w:rsidRPr="00B24FD6">
            <w:rPr>
              <w:sz w:val="22"/>
              <w:szCs w:val="22"/>
            </w:rPr>
            <w:t>Only apply litter at the agronomic rate specified by the Water Quality Management Plan.</w:t>
          </w:r>
        </w:p>
        <w:p w14:paraId="7359BF14" w14:textId="77777777" w:rsidR="00155327" w:rsidRPr="004E6D1F" w:rsidRDefault="00155327" w:rsidP="00155327">
          <w:pPr>
            <w:pStyle w:val="BodyText"/>
            <w:ind w:left="540" w:hanging="540"/>
            <w:rPr>
              <w:sz w:val="22"/>
              <w:szCs w:val="22"/>
            </w:rPr>
          </w:pPr>
          <w:r w:rsidRPr="004E6D1F">
            <w:rPr>
              <w:sz w:val="22"/>
              <w:szCs w:val="22"/>
            </w:rPr>
            <w:t>2.</w:t>
          </w:r>
          <w:r>
            <w:rPr>
              <w:sz w:val="22"/>
              <w:szCs w:val="22"/>
            </w:rPr>
            <w:tab/>
          </w:r>
          <w:r w:rsidRPr="004E6D1F">
            <w:rPr>
              <w:sz w:val="22"/>
              <w:szCs w:val="22"/>
            </w:rPr>
            <w:t>Liquid manure handling poultry facilities</w:t>
          </w:r>
        </w:p>
        <w:p w14:paraId="55044685" w14:textId="77777777" w:rsidR="00155327" w:rsidRPr="004E6D1F" w:rsidRDefault="00155327" w:rsidP="004838CE">
          <w:pPr>
            <w:pStyle w:val="BodyText"/>
            <w:spacing w:before="120"/>
            <w:rPr>
              <w:sz w:val="22"/>
              <w:szCs w:val="22"/>
            </w:rPr>
          </w:pPr>
          <w:r w:rsidRPr="004E6D1F">
            <w:rPr>
              <w:sz w:val="22"/>
              <w:szCs w:val="22"/>
            </w:rPr>
            <w:t>For facilities that use a liquid manure handling system, they are required to be permitted by TCEQ under either the CAFO general or individual permit.</w:t>
          </w:r>
        </w:p>
        <w:p w14:paraId="201237A8" w14:textId="77777777" w:rsidR="00155327" w:rsidRPr="004E6D1F" w:rsidRDefault="00155327" w:rsidP="00F63457">
          <w:pPr>
            <w:pStyle w:val="BodyText"/>
            <w:spacing w:before="120"/>
            <w:ind w:left="540" w:hanging="540"/>
            <w:rPr>
              <w:sz w:val="22"/>
              <w:szCs w:val="22"/>
            </w:rPr>
          </w:pPr>
          <w:r w:rsidRPr="004E6D1F">
            <w:rPr>
              <w:sz w:val="22"/>
              <w:szCs w:val="22"/>
            </w:rPr>
            <w:t>3.</w:t>
          </w:r>
          <w:r w:rsidR="00F63457">
            <w:rPr>
              <w:sz w:val="22"/>
              <w:szCs w:val="22"/>
            </w:rPr>
            <w:tab/>
          </w:r>
          <w:r w:rsidRPr="004E6D1F">
            <w:rPr>
              <w:sz w:val="22"/>
              <w:szCs w:val="22"/>
            </w:rPr>
            <w:t>All CAFO facilities are required to maintain the following buffer distances:</w:t>
          </w:r>
        </w:p>
        <w:tbl>
          <w:tblPr>
            <w:tblStyle w:val="TableGrid"/>
            <w:tblW w:w="0" w:type="auto"/>
            <w:tblInd w:w="-95" w:type="dxa"/>
            <w:tblLook w:val="04A0" w:firstRow="1" w:lastRow="0" w:firstColumn="1" w:lastColumn="0" w:noHBand="0" w:noVBand="1"/>
          </w:tblPr>
          <w:tblGrid>
            <w:gridCol w:w="4410"/>
            <w:gridCol w:w="1350"/>
            <w:gridCol w:w="3911"/>
          </w:tblGrid>
          <w:tr w:rsidR="00155327" w:rsidRPr="00CE20AA" w14:paraId="4090509B" w14:textId="77777777" w:rsidTr="00E03A50">
            <w:tc>
              <w:tcPr>
                <w:tcW w:w="4410" w:type="dxa"/>
                <w:shd w:val="clear" w:color="auto" w:fill="BFBFBF" w:themeFill="background1" w:themeFillShade="BF"/>
              </w:tcPr>
              <w:p w14:paraId="75EDEB9D" w14:textId="77777777" w:rsidR="00155327" w:rsidRPr="003F37E0" w:rsidRDefault="00155327" w:rsidP="00E03A50">
                <w:pPr>
                  <w:pStyle w:val="BodyText"/>
                  <w:spacing w:before="100" w:beforeAutospacing="1" w:after="0"/>
                  <w:rPr>
                    <w:rFonts w:eastAsiaTheme="minorHAnsi"/>
                    <w:b/>
                    <w:sz w:val="22"/>
                    <w:szCs w:val="22"/>
                  </w:rPr>
                </w:pPr>
                <w:r w:rsidRPr="003F37E0">
                  <w:rPr>
                    <w:rFonts w:eastAsiaTheme="minorHAnsi"/>
                    <w:b/>
                    <w:sz w:val="22"/>
                    <w:szCs w:val="22"/>
                  </w:rPr>
                  <w:t>Feature</w:t>
                </w:r>
              </w:p>
            </w:tc>
            <w:tc>
              <w:tcPr>
                <w:tcW w:w="1350" w:type="dxa"/>
                <w:shd w:val="clear" w:color="auto" w:fill="BFBFBF" w:themeFill="background1" w:themeFillShade="BF"/>
              </w:tcPr>
              <w:p w14:paraId="4374E018" w14:textId="77777777" w:rsidR="00155327" w:rsidRPr="003F37E0" w:rsidRDefault="00155327" w:rsidP="00E03A50">
                <w:pPr>
                  <w:pStyle w:val="BodyText"/>
                  <w:spacing w:before="100" w:beforeAutospacing="1" w:after="0"/>
                  <w:rPr>
                    <w:rFonts w:eastAsiaTheme="minorHAnsi"/>
                    <w:b/>
                    <w:sz w:val="22"/>
                    <w:szCs w:val="22"/>
                  </w:rPr>
                </w:pPr>
                <w:r w:rsidRPr="003F37E0">
                  <w:rPr>
                    <w:rFonts w:eastAsiaTheme="minorHAnsi"/>
                    <w:b/>
                    <w:sz w:val="22"/>
                    <w:szCs w:val="22"/>
                  </w:rPr>
                  <w:t>Distance*</w:t>
                </w:r>
              </w:p>
            </w:tc>
            <w:tc>
              <w:tcPr>
                <w:tcW w:w="3911" w:type="dxa"/>
                <w:shd w:val="clear" w:color="auto" w:fill="BFBFBF" w:themeFill="background1" w:themeFillShade="BF"/>
              </w:tcPr>
              <w:p w14:paraId="75C5CE82" w14:textId="77777777" w:rsidR="00155327" w:rsidRPr="003F37E0" w:rsidRDefault="00155327" w:rsidP="00E03A50">
                <w:pPr>
                  <w:pStyle w:val="BodyText"/>
                  <w:spacing w:before="100" w:beforeAutospacing="1" w:after="0"/>
                  <w:rPr>
                    <w:rFonts w:eastAsiaTheme="minorHAnsi"/>
                    <w:b/>
                    <w:sz w:val="22"/>
                    <w:szCs w:val="22"/>
                  </w:rPr>
                </w:pPr>
                <w:r w:rsidRPr="003F37E0">
                  <w:rPr>
                    <w:rFonts w:eastAsiaTheme="minorHAnsi"/>
                    <w:b/>
                    <w:sz w:val="22"/>
                    <w:szCs w:val="22"/>
                  </w:rPr>
                  <w:t>Notes</w:t>
                </w:r>
              </w:p>
            </w:tc>
          </w:tr>
          <w:tr w:rsidR="00155327" w:rsidRPr="00CE20AA" w14:paraId="52C68A2F" w14:textId="77777777" w:rsidTr="00E03A50">
            <w:tc>
              <w:tcPr>
                <w:tcW w:w="4410" w:type="dxa"/>
              </w:tcPr>
              <w:p w14:paraId="7B711C0D" w14:textId="77777777" w:rsidR="00155327" w:rsidRPr="003F37E0" w:rsidRDefault="00155327" w:rsidP="00E03A50">
                <w:pPr>
                  <w:pStyle w:val="BodyText"/>
                  <w:spacing w:before="100" w:beforeAutospacing="1" w:after="0"/>
                  <w:rPr>
                    <w:rFonts w:eastAsiaTheme="minorHAnsi"/>
                    <w:sz w:val="22"/>
                    <w:szCs w:val="22"/>
                  </w:rPr>
                </w:pPr>
                <w:r w:rsidRPr="003F37E0">
                  <w:rPr>
                    <w:rFonts w:eastAsiaTheme="minorHAnsi"/>
                    <w:sz w:val="22"/>
                    <w:szCs w:val="22"/>
                  </w:rPr>
                  <w:t>Sinkhole</w:t>
                </w:r>
              </w:p>
            </w:tc>
            <w:tc>
              <w:tcPr>
                <w:tcW w:w="1350" w:type="dxa"/>
              </w:tcPr>
              <w:p w14:paraId="3D4E2572" w14:textId="77777777" w:rsidR="00155327" w:rsidRPr="003F37E0" w:rsidRDefault="00155327" w:rsidP="00E03A50">
                <w:pPr>
                  <w:pStyle w:val="BodyText"/>
                  <w:spacing w:before="100" w:beforeAutospacing="1" w:after="0"/>
                  <w:jc w:val="center"/>
                  <w:rPr>
                    <w:rFonts w:eastAsiaTheme="minorHAnsi"/>
                    <w:sz w:val="22"/>
                    <w:szCs w:val="22"/>
                  </w:rPr>
                </w:pPr>
                <w:r w:rsidRPr="003F37E0">
                  <w:rPr>
                    <w:rFonts w:eastAsiaTheme="minorHAnsi"/>
                    <w:sz w:val="22"/>
                    <w:szCs w:val="22"/>
                  </w:rPr>
                  <w:t>100 feet</w:t>
                </w:r>
              </w:p>
            </w:tc>
            <w:tc>
              <w:tcPr>
                <w:tcW w:w="3911" w:type="dxa"/>
              </w:tcPr>
              <w:p w14:paraId="79FF50AA" w14:textId="77777777" w:rsidR="00155327" w:rsidRPr="003F37E0" w:rsidRDefault="00155327" w:rsidP="00E03A50">
                <w:pPr>
                  <w:pStyle w:val="BodyText"/>
                  <w:spacing w:before="100" w:beforeAutospacing="1" w:after="0"/>
                  <w:rPr>
                    <w:rFonts w:eastAsiaTheme="minorHAnsi"/>
                    <w:sz w:val="22"/>
                    <w:szCs w:val="22"/>
                  </w:rPr>
                </w:pPr>
                <w:r w:rsidRPr="003F37E0">
                  <w:rPr>
                    <w:rFonts w:eastAsiaTheme="minorHAnsi"/>
                    <w:sz w:val="22"/>
                    <w:szCs w:val="22"/>
                    <w:u w:val="single"/>
                  </w:rPr>
                  <w:t>Or</w:t>
                </w:r>
                <w:r w:rsidRPr="003F37E0">
                  <w:rPr>
                    <w:rFonts w:eastAsiaTheme="minorHAnsi"/>
                    <w:sz w:val="22"/>
                    <w:szCs w:val="22"/>
                  </w:rPr>
                  <w:t xml:space="preserve"> 35 feet with a vegetative buffer</w:t>
                </w:r>
              </w:p>
            </w:tc>
          </w:tr>
          <w:tr w:rsidR="00155327" w:rsidRPr="00CE20AA" w14:paraId="7A28111E" w14:textId="77777777" w:rsidTr="00E03A50">
            <w:tc>
              <w:tcPr>
                <w:tcW w:w="4410" w:type="dxa"/>
              </w:tcPr>
              <w:p w14:paraId="25B013CE" w14:textId="77777777" w:rsidR="00155327" w:rsidRPr="003F37E0" w:rsidRDefault="00155327" w:rsidP="00E03A50">
                <w:pPr>
                  <w:pStyle w:val="BodyText"/>
                  <w:spacing w:before="100" w:beforeAutospacing="1" w:after="0"/>
                  <w:rPr>
                    <w:rFonts w:eastAsiaTheme="minorHAnsi"/>
                    <w:sz w:val="22"/>
                    <w:szCs w:val="22"/>
                  </w:rPr>
                </w:pPr>
                <w:r w:rsidRPr="003F37E0">
                  <w:rPr>
                    <w:rFonts w:eastAsiaTheme="minorHAnsi"/>
                    <w:sz w:val="22"/>
                    <w:szCs w:val="22"/>
                  </w:rPr>
                  <w:t>Public Drinking Water Supply Well</w:t>
                </w:r>
              </w:p>
            </w:tc>
            <w:tc>
              <w:tcPr>
                <w:tcW w:w="1350" w:type="dxa"/>
              </w:tcPr>
              <w:p w14:paraId="6EF47A6F" w14:textId="77777777" w:rsidR="00155327" w:rsidRPr="003F37E0" w:rsidRDefault="00155327" w:rsidP="00E03A50">
                <w:pPr>
                  <w:pStyle w:val="BodyText"/>
                  <w:spacing w:before="100" w:beforeAutospacing="1" w:after="0"/>
                  <w:jc w:val="center"/>
                  <w:rPr>
                    <w:rFonts w:eastAsiaTheme="minorHAnsi"/>
                    <w:sz w:val="22"/>
                    <w:szCs w:val="22"/>
                  </w:rPr>
                </w:pPr>
                <w:r w:rsidRPr="003F37E0">
                  <w:rPr>
                    <w:rFonts w:eastAsiaTheme="minorHAnsi"/>
                    <w:sz w:val="22"/>
                    <w:szCs w:val="22"/>
                  </w:rPr>
                  <w:t>500 feet</w:t>
                </w:r>
              </w:p>
            </w:tc>
            <w:tc>
              <w:tcPr>
                <w:tcW w:w="3911" w:type="dxa"/>
              </w:tcPr>
              <w:p w14:paraId="3409E1CC" w14:textId="77777777" w:rsidR="00155327" w:rsidRPr="003F37E0" w:rsidRDefault="00155327" w:rsidP="00E03A50">
                <w:pPr>
                  <w:pStyle w:val="BodyText"/>
                  <w:spacing w:before="100" w:beforeAutospacing="1" w:after="0"/>
                  <w:rPr>
                    <w:rFonts w:eastAsiaTheme="minorHAnsi"/>
                    <w:sz w:val="22"/>
                    <w:szCs w:val="22"/>
                  </w:rPr>
                </w:pPr>
              </w:p>
            </w:tc>
          </w:tr>
          <w:tr w:rsidR="00155327" w:rsidRPr="00CE20AA" w14:paraId="27AEDA9E" w14:textId="77777777" w:rsidTr="00E03A50">
            <w:tc>
              <w:tcPr>
                <w:tcW w:w="4410" w:type="dxa"/>
              </w:tcPr>
              <w:p w14:paraId="6E25AD13" w14:textId="77777777" w:rsidR="00155327" w:rsidRPr="003F37E0" w:rsidRDefault="00155327" w:rsidP="00E03A50">
                <w:pPr>
                  <w:pStyle w:val="BodyText"/>
                  <w:spacing w:before="100" w:beforeAutospacing="1" w:after="0"/>
                  <w:rPr>
                    <w:rFonts w:eastAsiaTheme="minorHAnsi"/>
                    <w:sz w:val="22"/>
                    <w:szCs w:val="22"/>
                  </w:rPr>
                </w:pPr>
                <w:r w:rsidRPr="003F37E0">
                  <w:rPr>
                    <w:rFonts w:eastAsiaTheme="minorHAnsi"/>
                    <w:sz w:val="22"/>
                    <w:szCs w:val="22"/>
                  </w:rPr>
                  <w:t>Private Drinking Water Supply Well</w:t>
                </w:r>
              </w:p>
            </w:tc>
            <w:tc>
              <w:tcPr>
                <w:tcW w:w="1350" w:type="dxa"/>
              </w:tcPr>
              <w:p w14:paraId="366D9170" w14:textId="77777777" w:rsidR="00155327" w:rsidRPr="003F37E0" w:rsidRDefault="00155327" w:rsidP="00E03A50">
                <w:pPr>
                  <w:pStyle w:val="BodyText"/>
                  <w:spacing w:before="100" w:beforeAutospacing="1" w:after="0"/>
                  <w:jc w:val="center"/>
                  <w:rPr>
                    <w:rFonts w:eastAsiaTheme="minorHAnsi"/>
                    <w:sz w:val="22"/>
                    <w:szCs w:val="22"/>
                  </w:rPr>
                </w:pPr>
                <w:r w:rsidRPr="003F37E0">
                  <w:rPr>
                    <w:rFonts w:eastAsiaTheme="minorHAnsi"/>
                    <w:sz w:val="22"/>
                    <w:szCs w:val="22"/>
                  </w:rPr>
                  <w:t>150 feet</w:t>
                </w:r>
              </w:p>
            </w:tc>
            <w:tc>
              <w:tcPr>
                <w:tcW w:w="3911" w:type="dxa"/>
              </w:tcPr>
              <w:p w14:paraId="24713FF2" w14:textId="77777777" w:rsidR="00155327" w:rsidRPr="003F37E0" w:rsidRDefault="00155327" w:rsidP="00E03A50">
                <w:pPr>
                  <w:pStyle w:val="BodyText"/>
                  <w:spacing w:before="100" w:beforeAutospacing="1" w:after="0"/>
                  <w:rPr>
                    <w:rFonts w:eastAsiaTheme="minorHAnsi"/>
                    <w:sz w:val="22"/>
                    <w:szCs w:val="22"/>
                  </w:rPr>
                </w:pPr>
              </w:p>
            </w:tc>
          </w:tr>
          <w:tr w:rsidR="00155327" w:rsidRPr="00CE20AA" w14:paraId="52555C72" w14:textId="77777777" w:rsidTr="00E03A50">
            <w:tc>
              <w:tcPr>
                <w:tcW w:w="4410" w:type="dxa"/>
              </w:tcPr>
              <w:p w14:paraId="7A059F9C" w14:textId="77777777" w:rsidR="00155327" w:rsidRPr="003F37E0" w:rsidRDefault="00155327" w:rsidP="00E03A50">
                <w:pPr>
                  <w:pStyle w:val="BodyText"/>
                  <w:spacing w:before="100" w:beforeAutospacing="1" w:after="0"/>
                  <w:rPr>
                    <w:rFonts w:eastAsiaTheme="minorHAnsi"/>
                    <w:sz w:val="22"/>
                    <w:szCs w:val="22"/>
                  </w:rPr>
                </w:pPr>
                <w:r w:rsidRPr="003F37E0">
                  <w:rPr>
                    <w:rFonts w:eastAsiaTheme="minorHAnsi"/>
                    <w:sz w:val="22"/>
                    <w:szCs w:val="22"/>
                  </w:rPr>
                  <w:t>Agriculture Irrigation Well</w:t>
                </w:r>
              </w:p>
            </w:tc>
            <w:tc>
              <w:tcPr>
                <w:tcW w:w="1350" w:type="dxa"/>
              </w:tcPr>
              <w:p w14:paraId="44C91710" w14:textId="77777777" w:rsidR="00155327" w:rsidRPr="003F37E0" w:rsidRDefault="00155327" w:rsidP="00E03A50">
                <w:pPr>
                  <w:pStyle w:val="BodyText"/>
                  <w:spacing w:before="100" w:beforeAutospacing="1" w:after="0"/>
                  <w:jc w:val="center"/>
                  <w:rPr>
                    <w:rFonts w:eastAsiaTheme="minorHAnsi"/>
                    <w:sz w:val="22"/>
                    <w:szCs w:val="22"/>
                  </w:rPr>
                </w:pPr>
                <w:r w:rsidRPr="003F37E0">
                  <w:rPr>
                    <w:rFonts w:eastAsiaTheme="minorHAnsi"/>
                    <w:sz w:val="22"/>
                    <w:szCs w:val="22"/>
                  </w:rPr>
                  <w:t>100 feet</w:t>
                </w:r>
              </w:p>
            </w:tc>
            <w:tc>
              <w:tcPr>
                <w:tcW w:w="3911" w:type="dxa"/>
              </w:tcPr>
              <w:p w14:paraId="71869029" w14:textId="77777777" w:rsidR="00155327" w:rsidRPr="003F37E0" w:rsidRDefault="00155327" w:rsidP="00E03A50">
                <w:pPr>
                  <w:pStyle w:val="BodyText"/>
                  <w:spacing w:before="100" w:beforeAutospacing="1" w:after="0"/>
                  <w:rPr>
                    <w:rFonts w:eastAsiaTheme="minorHAnsi"/>
                    <w:sz w:val="22"/>
                    <w:szCs w:val="22"/>
                  </w:rPr>
                </w:pPr>
              </w:p>
            </w:tc>
          </w:tr>
          <w:tr w:rsidR="00155327" w:rsidRPr="00CE20AA" w14:paraId="43B9CF1D" w14:textId="77777777" w:rsidTr="00E03A50">
            <w:tc>
              <w:tcPr>
                <w:tcW w:w="4410" w:type="dxa"/>
              </w:tcPr>
              <w:p w14:paraId="2FC85C74" w14:textId="77777777" w:rsidR="00155327" w:rsidRPr="003F37E0" w:rsidRDefault="00155327" w:rsidP="00E03A50">
                <w:pPr>
                  <w:pStyle w:val="BodyText"/>
                  <w:spacing w:before="100" w:beforeAutospacing="1" w:after="0"/>
                  <w:rPr>
                    <w:rFonts w:eastAsiaTheme="minorHAnsi"/>
                    <w:sz w:val="22"/>
                    <w:szCs w:val="22"/>
                  </w:rPr>
                </w:pPr>
                <w:r w:rsidRPr="003F37E0">
                  <w:rPr>
                    <w:rFonts w:eastAsiaTheme="minorHAnsi"/>
                    <w:sz w:val="22"/>
                    <w:szCs w:val="22"/>
                  </w:rPr>
                  <w:t>Water in the State</w:t>
                </w:r>
              </w:p>
            </w:tc>
            <w:tc>
              <w:tcPr>
                <w:tcW w:w="1350" w:type="dxa"/>
              </w:tcPr>
              <w:p w14:paraId="348F9C38" w14:textId="77777777" w:rsidR="00155327" w:rsidRPr="003F37E0" w:rsidRDefault="00155327" w:rsidP="00E03A50">
                <w:pPr>
                  <w:pStyle w:val="BodyText"/>
                  <w:spacing w:before="100" w:beforeAutospacing="1" w:after="0"/>
                  <w:jc w:val="center"/>
                  <w:rPr>
                    <w:rFonts w:eastAsiaTheme="minorHAnsi"/>
                    <w:sz w:val="22"/>
                    <w:szCs w:val="22"/>
                  </w:rPr>
                </w:pPr>
                <w:r w:rsidRPr="003F37E0">
                  <w:rPr>
                    <w:rFonts w:eastAsiaTheme="minorHAnsi"/>
                    <w:sz w:val="22"/>
                    <w:szCs w:val="22"/>
                  </w:rPr>
                  <w:t>100 feet</w:t>
                </w:r>
              </w:p>
            </w:tc>
            <w:tc>
              <w:tcPr>
                <w:tcW w:w="3911" w:type="dxa"/>
              </w:tcPr>
              <w:p w14:paraId="0468CE2A" w14:textId="77777777" w:rsidR="00155327" w:rsidRPr="003F37E0" w:rsidRDefault="00155327" w:rsidP="00E03A50">
                <w:pPr>
                  <w:pStyle w:val="BodyText"/>
                  <w:spacing w:before="100" w:beforeAutospacing="1" w:after="0"/>
                  <w:rPr>
                    <w:rFonts w:eastAsiaTheme="minorHAnsi"/>
                    <w:sz w:val="22"/>
                    <w:szCs w:val="22"/>
                  </w:rPr>
                </w:pPr>
                <w:r w:rsidRPr="003F37E0">
                  <w:rPr>
                    <w:rFonts w:eastAsiaTheme="minorHAnsi"/>
                    <w:sz w:val="22"/>
                    <w:szCs w:val="22"/>
                  </w:rPr>
                  <w:t>vegetative</w:t>
                </w:r>
              </w:p>
            </w:tc>
          </w:tr>
          <w:tr w:rsidR="00155327" w:rsidRPr="00CE20AA" w14:paraId="54038782" w14:textId="77777777" w:rsidTr="00E03A50">
            <w:tc>
              <w:tcPr>
                <w:tcW w:w="4410" w:type="dxa"/>
              </w:tcPr>
              <w:p w14:paraId="4A4B6BAB" w14:textId="77777777" w:rsidR="00155327" w:rsidRPr="003F37E0" w:rsidRDefault="00155327" w:rsidP="00E03A50">
                <w:pPr>
                  <w:pStyle w:val="BodyText"/>
                  <w:spacing w:before="100" w:beforeAutospacing="1" w:after="0"/>
                  <w:rPr>
                    <w:rFonts w:eastAsiaTheme="minorHAnsi"/>
                    <w:sz w:val="22"/>
                    <w:szCs w:val="22"/>
                  </w:rPr>
                </w:pPr>
                <w:r w:rsidRPr="003F37E0">
                  <w:rPr>
                    <w:rFonts w:eastAsiaTheme="minorHAnsi"/>
                    <w:sz w:val="22"/>
                    <w:szCs w:val="22"/>
                  </w:rPr>
                  <w:t>Residence, Business, School, Church, Public Park (pre-Aug 19, 1998 facility)</w:t>
                </w:r>
              </w:p>
            </w:tc>
            <w:tc>
              <w:tcPr>
                <w:tcW w:w="1350" w:type="dxa"/>
              </w:tcPr>
              <w:p w14:paraId="4A6E5AAF" w14:textId="77777777" w:rsidR="00155327" w:rsidRPr="003F37E0" w:rsidRDefault="00155327" w:rsidP="00E03A50">
                <w:pPr>
                  <w:pStyle w:val="BodyText"/>
                  <w:spacing w:before="100" w:beforeAutospacing="1" w:after="0"/>
                  <w:jc w:val="center"/>
                  <w:rPr>
                    <w:rFonts w:eastAsiaTheme="minorHAnsi"/>
                    <w:sz w:val="22"/>
                    <w:szCs w:val="22"/>
                  </w:rPr>
                </w:pPr>
                <w:r w:rsidRPr="003F37E0">
                  <w:rPr>
                    <w:rFonts w:eastAsiaTheme="minorHAnsi"/>
                    <w:sz w:val="22"/>
                    <w:szCs w:val="22"/>
                  </w:rPr>
                  <w:t>¼ mile**</w:t>
                </w:r>
              </w:p>
            </w:tc>
            <w:tc>
              <w:tcPr>
                <w:tcW w:w="3911" w:type="dxa"/>
              </w:tcPr>
              <w:p w14:paraId="0699C412" w14:textId="77777777" w:rsidR="00155327" w:rsidRPr="003F37E0" w:rsidRDefault="00155327" w:rsidP="00E03A50">
                <w:pPr>
                  <w:pStyle w:val="BodyText"/>
                  <w:spacing w:before="100" w:beforeAutospacing="1" w:after="0"/>
                  <w:rPr>
                    <w:rFonts w:eastAsiaTheme="minorHAnsi"/>
                    <w:sz w:val="22"/>
                    <w:szCs w:val="22"/>
                  </w:rPr>
                </w:pPr>
                <w:r w:rsidRPr="003F37E0">
                  <w:rPr>
                    <w:rFonts w:eastAsiaTheme="minorHAnsi"/>
                    <w:sz w:val="22"/>
                    <w:szCs w:val="22"/>
                    <w:u w:val="single"/>
                  </w:rPr>
                  <w:t>Or</w:t>
                </w:r>
                <w:r w:rsidRPr="003F37E0">
                  <w:rPr>
                    <w:rFonts w:eastAsiaTheme="minorHAnsi"/>
                    <w:sz w:val="22"/>
                    <w:szCs w:val="22"/>
                  </w:rPr>
                  <w:t xml:space="preserve"> an Odor Control Plan (OCP)</w:t>
                </w:r>
              </w:p>
            </w:tc>
          </w:tr>
          <w:tr w:rsidR="00155327" w:rsidRPr="00CE20AA" w14:paraId="678CDBD2" w14:textId="77777777" w:rsidTr="00E03A50">
            <w:tc>
              <w:tcPr>
                <w:tcW w:w="4410" w:type="dxa"/>
              </w:tcPr>
              <w:p w14:paraId="26725D12" w14:textId="77777777" w:rsidR="00155327" w:rsidRPr="003F37E0" w:rsidRDefault="00155327" w:rsidP="00E03A50">
                <w:pPr>
                  <w:pStyle w:val="BodyText"/>
                  <w:spacing w:before="100" w:beforeAutospacing="1" w:after="0"/>
                  <w:rPr>
                    <w:rFonts w:eastAsiaTheme="minorHAnsi"/>
                    <w:sz w:val="22"/>
                    <w:szCs w:val="22"/>
                  </w:rPr>
                </w:pPr>
                <w:r w:rsidRPr="003F37E0">
                  <w:rPr>
                    <w:rFonts w:eastAsiaTheme="minorHAnsi"/>
                    <w:sz w:val="22"/>
                    <w:szCs w:val="22"/>
                  </w:rPr>
                  <w:t>Residence, Business, School, Church, Public Park (post-Aug 19, 1998 facility)</w:t>
                </w:r>
              </w:p>
            </w:tc>
            <w:tc>
              <w:tcPr>
                <w:tcW w:w="1350" w:type="dxa"/>
              </w:tcPr>
              <w:p w14:paraId="0C694306" w14:textId="77777777" w:rsidR="00155327" w:rsidRPr="003F37E0" w:rsidRDefault="00155327" w:rsidP="00E03A50">
                <w:pPr>
                  <w:pStyle w:val="BodyText"/>
                  <w:spacing w:before="100" w:beforeAutospacing="1" w:after="0"/>
                  <w:jc w:val="center"/>
                  <w:rPr>
                    <w:rFonts w:eastAsiaTheme="minorHAnsi"/>
                    <w:sz w:val="22"/>
                    <w:szCs w:val="22"/>
                  </w:rPr>
                </w:pPr>
                <w:r w:rsidRPr="003F37E0">
                  <w:rPr>
                    <w:rFonts w:eastAsiaTheme="minorHAnsi"/>
                    <w:sz w:val="22"/>
                    <w:szCs w:val="22"/>
                  </w:rPr>
                  <w:t>½ mile**</w:t>
                </w:r>
              </w:p>
            </w:tc>
            <w:tc>
              <w:tcPr>
                <w:tcW w:w="3911" w:type="dxa"/>
              </w:tcPr>
              <w:p w14:paraId="3D3CFB98" w14:textId="77777777" w:rsidR="00155327" w:rsidRPr="003F37E0" w:rsidRDefault="00155327" w:rsidP="00E03A50">
                <w:pPr>
                  <w:pStyle w:val="BodyText"/>
                  <w:spacing w:before="100" w:beforeAutospacing="1" w:after="0"/>
                  <w:rPr>
                    <w:rFonts w:eastAsiaTheme="minorHAnsi"/>
                    <w:sz w:val="22"/>
                    <w:szCs w:val="22"/>
                  </w:rPr>
                </w:pPr>
                <w:r w:rsidRPr="003F37E0">
                  <w:rPr>
                    <w:rFonts w:eastAsiaTheme="minorHAnsi"/>
                    <w:sz w:val="22"/>
                    <w:szCs w:val="22"/>
                    <w:u w:val="single"/>
                  </w:rPr>
                  <w:t>Or</w:t>
                </w:r>
                <w:r w:rsidRPr="003F37E0">
                  <w:rPr>
                    <w:rFonts w:eastAsiaTheme="minorHAnsi"/>
                    <w:sz w:val="22"/>
                    <w:szCs w:val="22"/>
                  </w:rPr>
                  <w:t xml:space="preserve"> ¼ mile and an OCP</w:t>
                </w:r>
              </w:p>
            </w:tc>
          </w:tr>
        </w:tbl>
        <w:p w14:paraId="21D9ECD2" w14:textId="77777777" w:rsidR="00155327" w:rsidRPr="003F37E0" w:rsidRDefault="00155327" w:rsidP="00155327">
          <w:pPr>
            <w:pStyle w:val="BodyText"/>
            <w:spacing w:before="120" w:after="0"/>
            <w:rPr>
              <w:sz w:val="22"/>
              <w:szCs w:val="22"/>
            </w:rPr>
          </w:pPr>
          <w:r>
            <w:rPr>
              <w:sz w:val="22"/>
              <w:szCs w:val="22"/>
            </w:rPr>
            <w:t>*</w:t>
          </w:r>
          <w:r w:rsidRPr="003F37E0">
            <w:rPr>
              <w:sz w:val="22"/>
              <w:szCs w:val="22"/>
            </w:rPr>
            <w:t xml:space="preserve"> distance from areas of manure, litter, and wastewater application</w:t>
          </w:r>
          <w:r w:rsidR="001D7567">
            <w:rPr>
              <w:sz w:val="22"/>
              <w:szCs w:val="22"/>
            </w:rPr>
            <w:t>.</w:t>
          </w:r>
        </w:p>
        <w:p w14:paraId="405EEC7C" w14:textId="77777777" w:rsidR="00155327" w:rsidRDefault="00155327" w:rsidP="00155327">
          <w:pPr>
            <w:pStyle w:val="BodyText"/>
            <w:spacing w:before="120"/>
            <w:rPr>
              <w:sz w:val="22"/>
              <w:szCs w:val="22"/>
            </w:rPr>
          </w:pPr>
          <w:r>
            <w:rPr>
              <w:sz w:val="22"/>
              <w:szCs w:val="22"/>
            </w:rPr>
            <w:t xml:space="preserve">** </w:t>
          </w:r>
          <w:r w:rsidRPr="003F37E0">
            <w:rPr>
              <w:sz w:val="22"/>
              <w:szCs w:val="22"/>
            </w:rPr>
            <w:t>distance from permanent odor source for Air Authorization.</w:t>
          </w:r>
        </w:p>
        <w:p w14:paraId="14A333BB" w14:textId="77777777" w:rsidR="003F37E0" w:rsidRPr="00D42C07" w:rsidRDefault="009F3AE3" w:rsidP="00820EE2">
          <w:pPr>
            <w:pStyle w:val="BodyText"/>
            <w:spacing w:before="120"/>
            <w:rPr>
              <w:b/>
              <w:sz w:val="22"/>
              <w:szCs w:val="22"/>
            </w:rPr>
          </w:pPr>
          <w:r w:rsidRPr="004456ED">
            <w:rPr>
              <w:sz w:val="22"/>
              <w:szCs w:val="22"/>
            </w:rPr>
            <w:t>Regarding the proliferation of CAFOs in the area,</w:t>
          </w:r>
          <w:r>
            <w:rPr>
              <w:sz w:val="22"/>
              <w:szCs w:val="22"/>
            </w:rPr>
            <w:t xml:space="preserve"> the</w:t>
          </w:r>
          <w:r w:rsidRPr="004456ED">
            <w:rPr>
              <w:sz w:val="22"/>
              <w:szCs w:val="22"/>
            </w:rPr>
            <w:t xml:space="preserve"> TCEQ rules do not </w:t>
          </w:r>
          <w:r>
            <w:rPr>
              <w:sz w:val="22"/>
              <w:szCs w:val="22"/>
            </w:rPr>
            <w:t>regulate</w:t>
          </w:r>
          <w:r w:rsidRPr="004456ED">
            <w:rPr>
              <w:sz w:val="22"/>
              <w:szCs w:val="22"/>
            </w:rPr>
            <w:t xml:space="preserve"> the number of CAFOs in any given location, but rather the waste generated by the animals at each facility</w:t>
          </w:r>
          <w:r>
            <w:rPr>
              <w:sz w:val="22"/>
              <w:szCs w:val="22"/>
            </w:rPr>
            <w:t>, and the management of the waste in a beneficial way that will not create a nuisance condition or cause water quality problems.</w:t>
          </w:r>
          <w:r w:rsidRPr="00A929B1">
            <w:t xml:space="preserve"> </w:t>
          </w:r>
          <w:r w:rsidRPr="00A929B1">
            <w:rPr>
              <w:sz w:val="22"/>
              <w:szCs w:val="22"/>
            </w:rPr>
            <w:t>Instead of numeric water quality-based effluent limitations, the</w:t>
          </w:r>
          <w:r w:rsidR="005F04B1">
            <w:rPr>
              <w:sz w:val="22"/>
              <w:szCs w:val="22"/>
            </w:rPr>
            <w:t xml:space="preserve"> CAFO</w:t>
          </w:r>
          <w:r w:rsidRPr="00A929B1">
            <w:rPr>
              <w:sz w:val="22"/>
              <w:szCs w:val="22"/>
            </w:rPr>
            <w:t xml:space="preserve"> GP establishes minimum control and management practices to restrict discharges to occur only during defined chronic or catastrophic rainfall events or catastrophic conditions</w:t>
          </w:r>
          <w:r>
            <w:rPr>
              <w:sz w:val="22"/>
              <w:szCs w:val="22"/>
            </w:rPr>
            <w:t>. Additionally, t</w:t>
          </w:r>
          <w:r w:rsidRPr="004D2C48">
            <w:rPr>
              <w:sz w:val="22"/>
              <w:szCs w:val="22"/>
            </w:rPr>
            <w:t xml:space="preserve">he TCEQ does not have </w:t>
          </w:r>
          <w:r>
            <w:rPr>
              <w:sz w:val="22"/>
              <w:szCs w:val="22"/>
            </w:rPr>
            <w:t xml:space="preserve">the statutory authority to regulate </w:t>
          </w:r>
          <w:r w:rsidRPr="004D2C48">
            <w:rPr>
              <w:sz w:val="22"/>
              <w:szCs w:val="22"/>
            </w:rPr>
            <w:t>zoning</w:t>
          </w:r>
          <w:r>
            <w:rPr>
              <w:sz w:val="22"/>
              <w:szCs w:val="22"/>
            </w:rPr>
            <w:t xml:space="preserve"> and land use.</w:t>
          </w:r>
        </w:p>
      </w:sdtContent>
    </w:sdt>
    <w:sectPr w:rsidR="003F37E0" w:rsidRPr="00D42C07" w:rsidSect="0083525D">
      <w:footerReference w:type="default" r:id="rId12"/>
      <w:type w:val="continuous"/>
      <w:pgSz w:w="12240" w:h="15840"/>
      <w:pgMar w:top="1440" w:right="108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16A6" w14:textId="77777777" w:rsidR="00A25234" w:rsidRDefault="00A25234" w:rsidP="00E52C9A">
      <w:r>
        <w:separator/>
      </w:r>
    </w:p>
  </w:endnote>
  <w:endnote w:type="continuationSeparator" w:id="0">
    <w:p w14:paraId="3FA3F1B2" w14:textId="77777777" w:rsidR="00A25234" w:rsidRDefault="00A2523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860237"/>
      <w:docPartObj>
        <w:docPartGallery w:val="Page Numbers (Bottom of Page)"/>
        <w:docPartUnique/>
      </w:docPartObj>
    </w:sdtPr>
    <w:sdtEndPr/>
    <w:sdtContent>
      <w:sdt>
        <w:sdtPr>
          <w:id w:val="-1769616900"/>
          <w:docPartObj>
            <w:docPartGallery w:val="Page Numbers (Top of Page)"/>
            <w:docPartUnique/>
          </w:docPartObj>
        </w:sdtPr>
        <w:sdtEndPr/>
        <w:sdtContent>
          <w:p w14:paraId="25D8B782" w14:textId="77777777" w:rsidR="00E91726" w:rsidRPr="0083525D" w:rsidRDefault="0083525D" w:rsidP="009B13F3">
            <w:pPr>
              <w:pStyle w:val="BodyText"/>
            </w:pPr>
            <w:r>
              <w:t>CAFO General Permit, TXG920000 Commissioner’s Response to Public Comments</w:t>
            </w:r>
            <w:r w:rsidR="009B13F3">
              <w:t xml:space="preserve">   </w:t>
            </w:r>
            <w:r>
              <w:t xml:space="preserve">Page </w:t>
            </w:r>
            <w:r>
              <w:rPr>
                <w:b/>
                <w:bCs/>
                <w:sz w:val="24"/>
              </w:rPr>
              <w:fldChar w:fldCharType="begin"/>
            </w:r>
            <w:r>
              <w:rPr>
                <w:b/>
                <w:bCs/>
              </w:rPr>
              <w:instrText xml:space="preserve"> PAGE </w:instrText>
            </w:r>
            <w:r>
              <w:rPr>
                <w:b/>
                <w:bCs/>
                <w:sz w:val="24"/>
              </w:rPr>
              <w:fldChar w:fldCharType="separate"/>
            </w:r>
            <w:r>
              <w:rPr>
                <w:b/>
                <w:bCs/>
                <w:sz w:val="24"/>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sz w:val="24"/>
              </w:rPr>
              <w:t>11</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B0FE" w14:textId="77777777" w:rsidR="00A25234" w:rsidRDefault="00A25234" w:rsidP="00E52C9A">
      <w:r>
        <w:separator/>
      </w:r>
    </w:p>
  </w:footnote>
  <w:footnote w:type="continuationSeparator" w:id="0">
    <w:p w14:paraId="74BB3D2A" w14:textId="77777777" w:rsidR="00A25234" w:rsidRDefault="00A2523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610722"/>
    <w:multiLevelType w:val="hybridMultilevel"/>
    <w:tmpl w:val="BE32077E"/>
    <w:lvl w:ilvl="0" w:tplc="306AB630">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471C6"/>
    <w:multiLevelType w:val="hybridMultilevel"/>
    <w:tmpl w:val="F558B3FC"/>
    <w:lvl w:ilvl="0" w:tplc="0D082EE0">
      <w:start w:val="1"/>
      <w:numFmt w:val="lowerLetter"/>
      <w:lvlText w:val="(%1)"/>
      <w:lvlJc w:val="left"/>
      <w:pPr>
        <w:ind w:left="720" w:hanging="360"/>
      </w:pPr>
      <w:rPr>
        <w:snapToGrid/>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53719"/>
    <w:multiLevelType w:val="hybridMultilevel"/>
    <w:tmpl w:val="509E4D7E"/>
    <w:lvl w:ilvl="0" w:tplc="0D082EE0">
      <w:start w:val="1"/>
      <w:numFmt w:val="lowerLetter"/>
      <w:lvlText w:val="(%1)"/>
      <w:lvlJc w:val="left"/>
      <w:pPr>
        <w:ind w:left="720" w:hanging="360"/>
      </w:pPr>
      <w:rPr>
        <w:snapToGrid/>
        <w:spacing w:val="-1"/>
        <w:sz w:val="24"/>
        <w:szCs w:val="24"/>
      </w:rPr>
    </w:lvl>
    <w:lvl w:ilvl="1" w:tplc="47669880">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B7317D"/>
    <w:multiLevelType w:val="hybridMultilevel"/>
    <w:tmpl w:val="83EC83C8"/>
    <w:lvl w:ilvl="0" w:tplc="2556A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55496"/>
    <w:multiLevelType w:val="hybridMultilevel"/>
    <w:tmpl w:val="AF3C16E6"/>
    <w:lvl w:ilvl="0" w:tplc="0D082EE0">
      <w:start w:val="1"/>
      <w:numFmt w:val="lowerLetter"/>
      <w:lvlText w:val="(%1)"/>
      <w:lvlJc w:val="left"/>
      <w:pPr>
        <w:ind w:left="720" w:hanging="360"/>
      </w:pPr>
      <w:rPr>
        <w:snapToGrid/>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5"/>
  </w:num>
  <w:num w:numId="13">
    <w:abstractNumId w:val="14"/>
  </w:num>
  <w:num w:numId="14">
    <w:abstractNumId w:val="9"/>
  </w:num>
  <w:num w:numId="15">
    <w:abstractNumId w:val="8"/>
    <w:lvlOverride w:ilvl="0">
      <w:startOverride w:val="1"/>
    </w:lvlOverride>
  </w:num>
  <w:num w:numId="16">
    <w:abstractNumId w:val="13"/>
  </w:num>
  <w:num w:numId="17">
    <w:abstractNumId w:val="11"/>
  </w:num>
  <w:num w:numId="18">
    <w:abstractNumId w:val="17"/>
  </w:num>
  <w:num w:numId="19">
    <w:abstractNumId w:val="12"/>
  </w:num>
  <w:num w:numId="20">
    <w:abstractNumId w:val="16"/>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zI1NjIyNzY2NDZV0lEKTi0uzszPAykwrgUAPVytuCwAAAA="/>
  </w:docVars>
  <w:rsids>
    <w:rsidRoot w:val="00A45483"/>
    <w:rsid w:val="00002757"/>
    <w:rsid w:val="000036BD"/>
    <w:rsid w:val="00010D77"/>
    <w:rsid w:val="00022642"/>
    <w:rsid w:val="00051B7F"/>
    <w:rsid w:val="00061B73"/>
    <w:rsid w:val="00084288"/>
    <w:rsid w:val="00092BA4"/>
    <w:rsid w:val="000A0AD5"/>
    <w:rsid w:val="000B1BC6"/>
    <w:rsid w:val="000B3E08"/>
    <w:rsid w:val="000B51FB"/>
    <w:rsid w:val="000C0A24"/>
    <w:rsid w:val="000C6038"/>
    <w:rsid w:val="000E3D3A"/>
    <w:rsid w:val="000E4972"/>
    <w:rsid w:val="000F1D34"/>
    <w:rsid w:val="001025D4"/>
    <w:rsid w:val="00104AFE"/>
    <w:rsid w:val="001135B1"/>
    <w:rsid w:val="00116413"/>
    <w:rsid w:val="00124986"/>
    <w:rsid w:val="00131128"/>
    <w:rsid w:val="00133480"/>
    <w:rsid w:val="00155327"/>
    <w:rsid w:val="001612CC"/>
    <w:rsid w:val="00164C55"/>
    <w:rsid w:val="00164CE2"/>
    <w:rsid w:val="00174280"/>
    <w:rsid w:val="0017492A"/>
    <w:rsid w:val="00177E71"/>
    <w:rsid w:val="001918A9"/>
    <w:rsid w:val="001C6656"/>
    <w:rsid w:val="001D7567"/>
    <w:rsid w:val="001E12CD"/>
    <w:rsid w:val="00203919"/>
    <w:rsid w:val="0022573C"/>
    <w:rsid w:val="002331DA"/>
    <w:rsid w:val="00235BD5"/>
    <w:rsid w:val="00244152"/>
    <w:rsid w:val="00246B61"/>
    <w:rsid w:val="00246C6B"/>
    <w:rsid w:val="00246D01"/>
    <w:rsid w:val="00246D2F"/>
    <w:rsid w:val="00250A82"/>
    <w:rsid w:val="00255E79"/>
    <w:rsid w:val="00261265"/>
    <w:rsid w:val="00262627"/>
    <w:rsid w:val="0026459A"/>
    <w:rsid w:val="00267310"/>
    <w:rsid w:val="002677C4"/>
    <w:rsid w:val="00267D58"/>
    <w:rsid w:val="002734B9"/>
    <w:rsid w:val="002909E7"/>
    <w:rsid w:val="00295CD2"/>
    <w:rsid w:val="00297D38"/>
    <w:rsid w:val="002B21BF"/>
    <w:rsid w:val="002C392B"/>
    <w:rsid w:val="002C68F3"/>
    <w:rsid w:val="002E0E85"/>
    <w:rsid w:val="002E1140"/>
    <w:rsid w:val="003007A4"/>
    <w:rsid w:val="00315557"/>
    <w:rsid w:val="00324425"/>
    <w:rsid w:val="003262EF"/>
    <w:rsid w:val="00327642"/>
    <w:rsid w:val="00332F30"/>
    <w:rsid w:val="00333DDF"/>
    <w:rsid w:val="00344EF3"/>
    <w:rsid w:val="003475D0"/>
    <w:rsid w:val="00351FD0"/>
    <w:rsid w:val="003534C7"/>
    <w:rsid w:val="003543A3"/>
    <w:rsid w:val="00375F13"/>
    <w:rsid w:val="00376E3C"/>
    <w:rsid w:val="00387832"/>
    <w:rsid w:val="0039259A"/>
    <w:rsid w:val="00393C75"/>
    <w:rsid w:val="00394E49"/>
    <w:rsid w:val="003A6BFF"/>
    <w:rsid w:val="003B41DF"/>
    <w:rsid w:val="003C23B5"/>
    <w:rsid w:val="003D7D1F"/>
    <w:rsid w:val="003E5B52"/>
    <w:rsid w:val="003F2C5F"/>
    <w:rsid w:val="003F37E0"/>
    <w:rsid w:val="003F5ABB"/>
    <w:rsid w:val="00401A25"/>
    <w:rsid w:val="004030E9"/>
    <w:rsid w:val="00411D09"/>
    <w:rsid w:val="00416276"/>
    <w:rsid w:val="00417619"/>
    <w:rsid w:val="00417E18"/>
    <w:rsid w:val="00430D84"/>
    <w:rsid w:val="00433289"/>
    <w:rsid w:val="00444048"/>
    <w:rsid w:val="004456ED"/>
    <w:rsid w:val="004515FE"/>
    <w:rsid w:val="00456B53"/>
    <w:rsid w:val="0046089F"/>
    <w:rsid w:val="00462AC4"/>
    <w:rsid w:val="00466BFC"/>
    <w:rsid w:val="00474B7F"/>
    <w:rsid w:val="004838CE"/>
    <w:rsid w:val="00487965"/>
    <w:rsid w:val="00491D7A"/>
    <w:rsid w:val="004948D2"/>
    <w:rsid w:val="004A25BA"/>
    <w:rsid w:val="004A726B"/>
    <w:rsid w:val="004B6A5E"/>
    <w:rsid w:val="004D2C48"/>
    <w:rsid w:val="004D2CA6"/>
    <w:rsid w:val="004E0E69"/>
    <w:rsid w:val="004E6D1F"/>
    <w:rsid w:val="0052745C"/>
    <w:rsid w:val="0053697C"/>
    <w:rsid w:val="0053771C"/>
    <w:rsid w:val="00540447"/>
    <w:rsid w:val="005424CA"/>
    <w:rsid w:val="005464F5"/>
    <w:rsid w:val="00546852"/>
    <w:rsid w:val="00550A48"/>
    <w:rsid w:val="0055212A"/>
    <w:rsid w:val="00552939"/>
    <w:rsid w:val="005533F6"/>
    <w:rsid w:val="005601E3"/>
    <w:rsid w:val="005753F9"/>
    <w:rsid w:val="0057724B"/>
    <w:rsid w:val="005842D6"/>
    <w:rsid w:val="005B4771"/>
    <w:rsid w:val="005B74B6"/>
    <w:rsid w:val="005E2709"/>
    <w:rsid w:val="005E2900"/>
    <w:rsid w:val="005E3255"/>
    <w:rsid w:val="005F04B1"/>
    <w:rsid w:val="005F337F"/>
    <w:rsid w:val="005F7AFD"/>
    <w:rsid w:val="00602C6C"/>
    <w:rsid w:val="00602FFB"/>
    <w:rsid w:val="006146E4"/>
    <w:rsid w:val="00625E9B"/>
    <w:rsid w:val="006514EA"/>
    <w:rsid w:val="0065525B"/>
    <w:rsid w:val="00660652"/>
    <w:rsid w:val="00661429"/>
    <w:rsid w:val="00666D7E"/>
    <w:rsid w:val="006709EB"/>
    <w:rsid w:val="00671530"/>
    <w:rsid w:val="006730D8"/>
    <w:rsid w:val="00675AAA"/>
    <w:rsid w:val="0067766D"/>
    <w:rsid w:val="006955C6"/>
    <w:rsid w:val="006B7D8B"/>
    <w:rsid w:val="006C1CD8"/>
    <w:rsid w:val="006C3941"/>
    <w:rsid w:val="006C764A"/>
    <w:rsid w:val="006D7D00"/>
    <w:rsid w:val="006E3D16"/>
    <w:rsid w:val="006E503E"/>
    <w:rsid w:val="006F30EF"/>
    <w:rsid w:val="00705D5E"/>
    <w:rsid w:val="00711F2E"/>
    <w:rsid w:val="007223B2"/>
    <w:rsid w:val="0072249E"/>
    <w:rsid w:val="00727F1C"/>
    <w:rsid w:val="007308E6"/>
    <w:rsid w:val="00732647"/>
    <w:rsid w:val="007335E2"/>
    <w:rsid w:val="007366DE"/>
    <w:rsid w:val="00746472"/>
    <w:rsid w:val="0075745D"/>
    <w:rsid w:val="00764934"/>
    <w:rsid w:val="00766DBE"/>
    <w:rsid w:val="007710D0"/>
    <w:rsid w:val="00782DE0"/>
    <w:rsid w:val="007849BB"/>
    <w:rsid w:val="007A0889"/>
    <w:rsid w:val="007A18B2"/>
    <w:rsid w:val="007D25BA"/>
    <w:rsid w:val="007D7A4A"/>
    <w:rsid w:val="007E1857"/>
    <w:rsid w:val="007E28A5"/>
    <w:rsid w:val="007F1D92"/>
    <w:rsid w:val="00812657"/>
    <w:rsid w:val="008158E2"/>
    <w:rsid w:val="00820D9A"/>
    <w:rsid w:val="00820EE2"/>
    <w:rsid w:val="00822936"/>
    <w:rsid w:val="00831FA7"/>
    <w:rsid w:val="00833AE9"/>
    <w:rsid w:val="0083525D"/>
    <w:rsid w:val="008400D6"/>
    <w:rsid w:val="00843E45"/>
    <w:rsid w:val="00847443"/>
    <w:rsid w:val="0085033F"/>
    <w:rsid w:val="00860E24"/>
    <w:rsid w:val="00873038"/>
    <w:rsid w:val="008755F2"/>
    <w:rsid w:val="00881144"/>
    <w:rsid w:val="00885069"/>
    <w:rsid w:val="00885D26"/>
    <w:rsid w:val="008913A6"/>
    <w:rsid w:val="008A6A24"/>
    <w:rsid w:val="008B0152"/>
    <w:rsid w:val="008B4F2A"/>
    <w:rsid w:val="008C4ABA"/>
    <w:rsid w:val="008C4CE1"/>
    <w:rsid w:val="008D2D0F"/>
    <w:rsid w:val="008E33DD"/>
    <w:rsid w:val="008E6CA0"/>
    <w:rsid w:val="008E7D61"/>
    <w:rsid w:val="008F4441"/>
    <w:rsid w:val="008F58ED"/>
    <w:rsid w:val="009032AC"/>
    <w:rsid w:val="00910ADF"/>
    <w:rsid w:val="009112EC"/>
    <w:rsid w:val="00916A49"/>
    <w:rsid w:val="00923D5E"/>
    <w:rsid w:val="00932CE6"/>
    <w:rsid w:val="0094541B"/>
    <w:rsid w:val="00951A1C"/>
    <w:rsid w:val="00964FDD"/>
    <w:rsid w:val="0097286B"/>
    <w:rsid w:val="0099316B"/>
    <w:rsid w:val="00993889"/>
    <w:rsid w:val="00996B99"/>
    <w:rsid w:val="00997CAC"/>
    <w:rsid w:val="009A2845"/>
    <w:rsid w:val="009A3B6D"/>
    <w:rsid w:val="009A6687"/>
    <w:rsid w:val="009B13F3"/>
    <w:rsid w:val="009B5A69"/>
    <w:rsid w:val="009B7482"/>
    <w:rsid w:val="009D2E48"/>
    <w:rsid w:val="009F11E3"/>
    <w:rsid w:val="009F3AE3"/>
    <w:rsid w:val="009F600D"/>
    <w:rsid w:val="009F6C3B"/>
    <w:rsid w:val="00A03680"/>
    <w:rsid w:val="00A059FC"/>
    <w:rsid w:val="00A05AC4"/>
    <w:rsid w:val="00A14C5B"/>
    <w:rsid w:val="00A173E4"/>
    <w:rsid w:val="00A2193F"/>
    <w:rsid w:val="00A25234"/>
    <w:rsid w:val="00A30B7B"/>
    <w:rsid w:val="00A330EA"/>
    <w:rsid w:val="00A45483"/>
    <w:rsid w:val="00A56092"/>
    <w:rsid w:val="00A57385"/>
    <w:rsid w:val="00A75BA9"/>
    <w:rsid w:val="00A75BF4"/>
    <w:rsid w:val="00A87318"/>
    <w:rsid w:val="00A90F55"/>
    <w:rsid w:val="00A929B1"/>
    <w:rsid w:val="00A97422"/>
    <w:rsid w:val="00AA2975"/>
    <w:rsid w:val="00AB074C"/>
    <w:rsid w:val="00AB2B04"/>
    <w:rsid w:val="00AB3CE2"/>
    <w:rsid w:val="00AC16EF"/>
    <w:rsid w:val="00AC5AD4"/>
    <w:rsid w:val="00AD606D"/>
    <w:rsid w:val="00AE596B"/>
    <w:rsid w:val="00AF7796"/>
    <w:rsid w:val="00B12AF3"/>
    <w:rsid w:val="00B13600"/>
    <w:rsid w:val="00B13E67"/>
    <w:rsid w:val="00B16CB8"/>
    <w:rsid w:val="00B24FD6"/>
    <w:rsid w:val="00B31356"/>
    <w:rsid w:val="00B3192F"/>
    <w:rsid w:val="00B3681B"/>
    <w:rsid w:val="00B4151E"/>
    <w:rsid w:val="00B4403F"/>
    <w:rsid w:val="00B514DA"/>
    <w:rsid w:val="00B5626B"/>
    <w:rsid w:val="00B60908"/>
    <w:rsid w:val="00B67B7E"/>
    <w:rsid w:val="00B822F8"/>
    <w:rsid w:val="00B868F1"/>
    <w:rsid w:val="00B911FD"/>
    <w:rsid w:val="00B9230C"/>
    <w:rsid w:val="00B975B5"/>
    <w:rsid w:val="00BD135F"/>
    <w:rsid w:val="00BD1BB4"/>
    <w:rsid w:val="00BD4B32"/>
    <w:rsid w:val="00BE39E1"/>
    <w:rsid w:val="00BF000E"/>
    <w:rsid w:val="00BF1A21"/>
    <w:rsid w:val="00BF4D02"/>
    <w:rsid w:val="00C0008F"/>
    <w:rsid w:val="00C0591A"/>
    <w:rsid w:val="00C06A8C"/>
    <w:rsid w:val="00C306F8"/>
    <w:rsid w:val="00C44BB7"/>
    <w:rsid w:val="00C5114A"/>
    <w:rsid w:val="00C668F2"/>
    <w:rsid w:val="00C70DBA"/>
    <w:rsid w:val="00C711D6"/>
    <w:rsid w:val="00C85F5D"/>
    <w:rsid w:val="00C90184"/>
    <w:rsid w:val="00C93D17"/>
    <w:rsid w:val="00C95864"/>
    <w:rsid w:val="00CC0858"/>
    <w:rsid w:val="00CC3A75"/>
    <w:rsid w:val="00CC59A8"/>
    <w:rsid w:val="00CC5F2B"/>
    <w:rsid w:val="00CC6108"/>
    <w:rsid w:val="00CD2F16"/>
    <w:rsid w:val="00CE01ED"/>
    <w:rsid w:val="00CF4CB6"/>
    <w:rsid w:val="00D424DF"/>
    <w:rsid w:val="00D42C07"/>
    <w:rsid w:val="00D44331"/>
    <w:rsid w:val="00D46055"/>
    <w:rsid w:val="00D47674"/>
    <w:rsid w:val="00D514C9"/>
    <w:rsid w:val="00D53F25"/>
    <w:rsid w:val="00D55235"/>
    <w:rsid w:val="00D6013B"/>
    <w:rsid w:val="00D62697"/>
    <w:rsid w:val="00D642CF"/>
    <w:rsid w:val="00D6600A"/>
    <w:rsid w:val="00D73357"/>
    <w:rsid w:val="00D8293C"/>
    <w:rsid w:val="00D9218C"/>
    <w:rsid w:val="00DB61EE"/>
    <w:rsid w:val="00DB72FD"/>
    <w:rsid w:val="00DB788B"/>
    <w:rsid w:val="00DC278A"/>
    <w:rsid w:val="00DD327F"/>
    <w:rsid w:val="00DE0F77"/>
    <w:rsid w:val="00DE1ABF"/>
    <w:rsid w:val="00DE5631"/>
    <w:rsid w:val="00DE7C8C"/>
    <w:rsid w:val="00DF38E3"/>
    <w:rsid w:val="00E03EAC"/>
    <w:rsid w:val="00E04A23"/>
    <w:rsid w:val="00E14844"/>
    <w:rsid w:val="00E17987"/>
    <w:rsid w:val="00E2418B"/>
    <w:rsid w:val="00E2658A"/>
    <w:rsid w:val="00E35394"/>
    <w:rsid w:val="00E50C94"/>
    <w:rsid w:val="00E52185"/>
    <w:rsid w:val="00E52C9A"/>
    <w:rsid w:val="00E61017"/>
    <w:rsid w:val="00E61242"/>
    <w:rsid w:val="00E62086"/>
    <w:rsid w:val="00E64B8A"/>
    <w:rsid w:val="00E769FE"/>
    <w:rsid w:val="00E91726"/>
    <w:rsid w:val="00E92421"/>
    <w:rsid w:val="00E92B52"/>
    <w:rsid w:val="00E93535"/>
    <w:rsid w:val="00E93DEF"/>
    <w:rsid w:val="00E95827"/>
    <w:rsid w:val="00EA1F7C"/>
    <w:rsid w:val="00EB0D59"/>
    <w:rsid w:val="00EB1DE7"/>
    <w:rsid w:val="00EB20C5"/>
    <w:rsid w:val="00EC38DA"/>
    <w:rsid w:val="00EC3999"/>
    <w:rsid w:val="00EE4CE6"/>
    <w:rsid w:val="00EF0C58"/>
    <w:rsid w:val="00EF6A56"/>
    <w:rsid w:val="00F05F6C"/>
    <w:rsid w:val="00F14AF7"/>
    <w:rsid w:val="00F210B7"/>
    <w:rsid w:val="00F216B2"/>
    <w:rsid w:val="00F26E2A"/>
    <w:rsid w:val="00F5182A"/>
    <w:rsid w:val="00F533B3"/>
    <w:rsid w:val="00F56A6D"/>
    <w:rsid w:val="00F56C15"/>
    <w:rsid w:val="00F56E78"/>
    <w:rsid w:val="00F5747E"/>
    <w:rsid w:val="00F63457"/>
    <w:rsid w:val="00F63A75"/>
    <w:rsid w:val="00F63FFF"/>
    <w:rsid w:val="00F73DBA"/>
    <w:rsid w:val="00F759B2"/>
    <w:rsid w:val="00F84103"/>
    <w:rsid w:val="00F84C3B"/>
    <w:rsid w:val="00F86472"/>
    <w:rsid w:val="00FA1D63"/>
    <w:rsid w:val="00FB1DEC"/>
    <w:rsid w:val="00FD58F9"/>
    <w:rsid w:val="00FE45C4"/>
    <w:rsid w:val="00FE631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525E"/>
  <w15:chartTrackingRefBased/>
  <w15:docId w15:val="{8E4F66DB-9DE7-43EB-AE3B-0AC47A1C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D16"/>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widowControl/>
      <w:tabs>
        <w:tab w:val="left" w:pos="720"/>
      </w:tabs>
      <w:autoSpaceDE/>
      <w:autoSpaceDN/>
      <w:adjustRightInd/>
      <w:spacing w:before="240" w:after="60"/>
      <w:outlineLvl w:val="6"/>
    </w:pPr>
    <w:rPr>
      <w:rFonts w:ascii="Lucida Bright" w:eastAsiaTheme="minorHAnsi" w:hAnsi="Lucida Bright" w:cstheme="minorBidi"/>
      <w:sz w:val="20"/>
    </w:rPr>
  </w:style>
  <w:style w:type="paragraph" w:styleId="Heading8">
    <w:name w:val="heading 8"/>
    <w:basedOn w:val="Normal"/>
    <w:next w:val="Normal"/>
    <w:link w:val="Heading8Char"/>
    <w:uiPriority w:val="99"/>
    <w:semiHidden/>
    <w:unhideWhenUsed/>
    <w:rsid w:val="00CC59A8"/>
    <w:pPr>
      <w:widowControl/>
      <w:tabs>
        <w:tab w:val="left" w:pos="720"/>
      </w:tabs>
      <w:autoSpaceDE/>
      <w:autoSpaceDN/>
      <w:adjustRightInd/>
      <w:spacing w:before="240" w:after="60"/>
      <w:outlineLvl w:val="7"/>
    </w:pPr>
    <w:rPr>
      <w:rFonts w:ascii="Lucida Bright" w:eastAsiaTheme="minorHAnsi" w:hAnsi="Lucida Bright" w:cstheme="minorBidi"/>
      <w:i/>
      <w:iCs/>
      <w:sz w:val="20"/>
    </w:rPr>
  </w:style>
  <w:style w:type="paragraph" w:styleId="Heading9">
    <w:name w:val="heading 9"/>
    <w:basedOn w:val="Normal"/>
    <w:next w:val="Normal"/>
    <w:link w:val="Heading9Char"/>
    <w:uiPriority w:val="99"/>
    <w:semiHidden/>
    <w:unhideWhenUsed/>
    <w:rsid w:val="00E52C9A"/>
    <w:pPr>
      <w:widowControl/>
      <w:tabs>
        <w:tab w:val="left" w:pos="720"/>
      </w:tabs>
      <w:autoSpaceDE/>
      <w:autoSpaceDN/>
      <w:adjustRightInd/>
      <w:spacing w:before="240" w:after="60"/>
      <w:outlineLvl w:val="8"/>
    </w:pPr>
    <w:rPr>
      <w:rFonts w:ascii="Lucida Bright" w:eastAsiaTheme="minorHAnsi" w:hAnsi="Lucida Bright"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widowControl/>
      <w:tabs>
        <w:tab w:val="left" w:pos="720"/>
      </w:tabs>
      <w:autoSpaceDE/>
      <w:autoSpaceDN/>
      <w:adjustRightInd/>
      <w:ind w:left="240" w:hanging="240"/>
    </w:pPr>
    <w:rPr>
      <w:rFonts w:ascii="Lucida Bright" w:eastAsiaTheme="minorHAnsi" w:hAnsi="Lucida Bright" w:cstheme="minorBidi"/>
      <w:sz w:val="20"/>
    </w:rPr>
  </w:style>
  <w:style w:type="paragraph" w:styleId="Index2">
    <w:name w:val="index 2"/>
    <w:basedOn w:val="Normal"/>
    <w:next w:val="Normal"/>
    <w:autoRedefine/>
    <w:semiHidden/>
    <w:rsid w:val="00CC59A8"/>
    <w:pPr>
      <w:widowControl/>
      <w:tabs>
        <w:tab w:val="left" w:pos="720"/>
      </w:tabs>
      <w:autoSpaceDE/>
      <w:autoSpaceDN/>
      <w:adjustRightInd/>
      <w:ind w:left="480" w:hanging="240"/>
    </w:pPr>
    <w:rPr>
      <w:rFonts w:ascii="Lucida Bright" w:eastAsiaTheme="minorHAnsi" w:hAnsi="Lucida Bright" w:cstheme="minorBidi"/>
      <w:sz w:val="20"/>
    </w:rPr>
  </w:style>
  <w:style w:type="paragraph" w:styleId="Index3">
    <w:name w:val="index 3"/>
    <w:basedOn w:val="Normal"/>
    <w:next w:val="Normal"/>
    <w:autoRedefine/>
    <w:semiHidden/>
    <w:rsid w:val="00CC59A8"/>
    <w:pPr>
      <w:widowControl/>
      <w:tabs>
        <w:tab w:val="left" w:pos="720"/>
      </w:tabs>
      <w:autoSpaceDE/>
      <w:autoSpaceDN/>
      <w:adjustRightInd/>
      <w:ind w:left="720" w:hanging="240"/>
    </w:pPr>
    <w:rPr>
      <w:rFonts w:ascii="Lucida Bright" w:eastAsiaTheme="minorHAnsi" w:hAnsi="Lucida Bright" w:cstheme="minorBidi"/>
      <w:sz w:val="20"/>
    </w:rPr>
  </w:style>
  <w:style w:type="paragraph" w:styleId="Index4">
    <w:name w:val="index 4"/>
    <w:basedOn w:val="Normal"/>
    <w:next w:val="Normal"/>
    <w:autoRedefine/>
    <w:semiHidden/>
    <w:rsid w:val="00CC59A8"/>
    <w:pPr>
      <w:widowControl/>
      <w:tabs>
        <w:tab w:val="left" w:pos="720"/>
      </w:tabs>
      <w:autoSpaceDE/>
      <w:autoSpaceDN/>
      <w:adjustRightInd/>
      <w:ind w:left="960" w:hanging="240"/>
    </w:pPr>
    <w:rPr>
      <w:rFonts w:ascii="Lucida Bright" w:eastAsiaTheme="minorHAnsi" w:hAnsi="Lucida Bright" w:cstheme="minorBidi"/>
      <w:sz w:val="20"/>
    </w:rPr>
  </w:style>
  <w:style w:type="paragraph" w:styleId="Index5">
    <w:name w:val="index 5"/>
    <w:basedOn w:val="Normal"/>
    <w:next w:val="Normal"/>
    <w:autoRedefine/>
    <w:semiHidden/>
    <w:rsid w:val="00CC59A8"/>
    <w:pPr>
      <w:widowControl/>
      <w:tabs>
        <w:tab w:val="left" w:pos="720"/>
      </w:tabs>
      <w:autoSpaceDE/>
      <w:autoSpaceDN/>
      <w:adjustRightInd/>
      <w:ind w:left="1200" w:hanging="240"/>
    </w:pPr>
    <w:rPr>
      <w:rFonts w:ascii="Lucida Bright" w:eastAsiaTheme="minorHAnsi" w:hAnsi="Lucida Bright" w:cstheme="minorBidi"/>
      <w:sz w:val="20"/>
    </w:rPr>
  </w:style>
  <w:style w:type="paragraph" w:styleId="Index6">
    <w:name w:val="index 6"/>
    <w:basedOn w:val="Normal"/>
    <w:next w:val="Normal"/>
    <w:autoRedefine/>
    <w:semiHidden/>
    <w:rsid w:val="00CC59A8"/>
    <w:pPr>
      <w:widowControl/>
      <w:tabs>
        <w:tab w:val="left" w:pos="720"/>
      </w:tabs>
      <w:autoSpaceDE/>
      <w:autoSpaceDN/>
      <w:adjustRightInd/>
      <w:ind w:left="1440" w:hanging="240"/>
    </w:pPr>
    <w:rPr>
      <w:rFonts w:ascii="Lucida Bright" w:eastAsiaTheme="minorHAnsi" w:hAnsi="Lucida Bright" w:cstheme="minorBidi"/>
      <w:sz w:val="20"/>
    </w:rPr>
  </w:style>
  <w:style w:type="paragraph" w:styleId="Index7">
    <w:name w:val="index 7"/>
    <w:basedOn w:val="Normal"/>
    <w:next w:val="Normal"/>
    <w:autoRedefine/>
    <w:semiHidden/>
    <w:rsid w:val="00CC59A8"/>
    <w:pPr>
      <w:widowControl/>
      <w:tabs>
        <w:tab w:val="left" w:pos="720"/>
      </w:tabs>
      <w:autoSpaceDE/>
      <w:autoSpaceDN/>
      <w:adjustRightInd/>
      <w:ind w:left="1680" w:hanging="240"/>
    </w:pPr>
    <w:rPr>
      <w:rFonts w:ascii="Lucida Bright" w:eastAsiaTheme="minorHAnsi" w:hAnsi="Lucida Bright" w:cstheme="minorBidi"/>
      <w:sz w:val="20"/>
    </w:rPr>
  </w:style>
  <w:style w:type="paragraph" w:styleId="Index8">
    <w:name w:val="index 8"/>
    <w:basedOn w:val="Normal"/>
    <w:next w:val="Normal"/>
    <w:autoRedefine/>
    <w:semiHidden/>
    <w:rsid w:val="00CC59A8"/>
    <w:pPr>
      <w:widowControl/>
      <w:tabs>
        <w:tab w:val="left" w:pos="720"/>
      </w:tabs>
      <w:autoSpaceDE/>
      <w:autoSpaceDN/>
      <w:adjustRightInd/>
      <w:ind w:left="1920" w:hanging="240"/>
    </w:pPr>
    <w:rPr>
      <w:rFonts w:ascii="Lucida Bright" w:eastAsiaTheme="minorHAnsi" w:hAnsi="Lucida Bright" w:cstheme="minorBidi"/>
      <w:sz w:val="20"/>
    </w:rPr>
  </w:style>
  <w:style w:type="paragraph" w:styleId="Index9">
    <w:name w:val="index 9"/>
    <w:basedOn w:val="Normal"/>
    <w:next w:val="Normal"/>
    <w:autoRedefine/>
    <w:semiHidden/>
    <w:rsid w:val="00CC59A8"/>
    <w:pPr>
      <w:widowControl/>
      <w:tabs>
        <w:tab w:val="left" w:pos="720"/>
      </w:tabs>
      <w:autoSpaceDE/>
      <w:autoSpaceDN/>
      <w:adjustRightInd/>
      <w:ind w:left="2160" w:hanging="240"/>
    </w:pPr>
    <w:rPr>
      <w:rFonts w:ascii="Lucida Bright" w:eastAsiaTheme="minorHAnsi" w:hAnsi="Lucida Bright" w:cstheme="minorBidi"/>
      <w:sz w:val="20"/>
    </w:r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widowControl/>
      <w:tabs>
        <w:tab w:val="left" w:pos="720"/>
      </w:tabs>
      <w:autoSpaceDE/>
      <w:autoSpaceDN/>
      <w:adjustRightInd/>
      <w:ind w:left="720"/>
    </w:pPr>
    <w:rPr>
      <w:rFonts w:ascii="Lucida Bright" w:eastAsiaTheme="minorHAnsi" w:hAnsi="Lucida Bright" w:cstheme="minorBidi"/>
      <w:sz w:val="20"/>
    </w:rPr>
  </w:style>
  <w:style w:type="paragraph" w:styleId="FootnoteText">
    <w:name w:val="footnote text"/>
    <w:basedOn w:val="Normal"/>
    <w:link w:val="FootnoteTextChar"/>
    <w:semiHidden/>
    <w:rsid w:val="00CC59A8"/>
    <w:pPr>
      <w:widowControl/>
      <w:tabs>
        <w:tab w:val="left" w:pos="720"/>
      </w:tabs>
      <w:autoSpaceDE/>
      <w:autoSpaceDN/>
      <w:adjustRightInd/>
    </w:pPr>
    <w:rPr>
      <w:rFonts w:ascii="Lucida Bright" w:eastAsiaTheme="minorHAnsi" w:hAnsi="Lucida Bright" w:cstheme="minorBidi"/>
      <w:sz w:val="20"/>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pPr>
      <w:widowControl/>
      <w:tabs>
        <w:tab w:val="left" w:pos="720"/>
      </w:tabs>
      <w:autoSpaceDE/>
      <w:autoSpaceDN/>
      <w:adjustRightInd/>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widowControl/>
      <w:tabs>
        <w:tab w:val="left" w:pos="720"/>
        <w:tab w:val="center" w:pos="4320"/>
        <w:tab w:val="right" w:pos="8640"/>
      </w:tabs>
      <w:autoSpaceDE/>
      <w:autoSpaceDN/>
      <w:adjustRightInd/>
    </w:pPr>
    <w:rPr>
      <w:rFonts w:ascii="Lucida Bright" w:eastAsiaTheme="minorHAnsi" w:hAnsi="Lucida Bright" w:cstheme="minorBidi"/>
      <w:sz w:val="20"/>
    </w:r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widowControl/>
      <w:tabs>
        <w:tab w:val="left" w:pos="720"/>
        <w:tab w:val="center" w:pos="4320"/>
        <w:tab w:val="right" w:pos="8640"/>
      </w:tabs>
      <w:autoSpaceDE/>
      <w:autoSpaceDN/>
      <w:adjustRightInd/>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pPr>
      <w:widowControl/>
      <w:tabs>
        <w:tab w:val="left" w:pos="720"/>
      </w:tabs>
      <w:autoSpaceDE/>
      <w:autoSpaceDN/>
      <w:adjustRightInd/>
    </w:pPr>
    <w:rPr>
      <w:rFonts w:ascii="Verdana" w:eastAsiaTheme="minorHAnsi" w:hAnsi="Verdana" w:cs="Arial"/>
      <w:b/>
      <w:bCs/>
      <w:sz w:val="20"/>
    </w:rPr>
  </w:style>
  <w:style w:type="paragraph" w:styleId="TableofFigures">
    <w:name w:val="table of figures"/>
    <w:basedOn w:val="Normal"/>
    <w:next w:val="Normal"/>
    <w:semiHidden/>
    <w:rsid w:val="00CC59A8"/>
    <w:pPr>
      <w:widowControl/>
      <w:tabs>
        <w:tab w:val="left" w:pos="720"/>
      </w:tabs>
      <w:autoSpaceDE/>
      <w:autoSpaceDN/>
      <w:adjustRightInd/>
    </w:pPr>
    <w:rPr>
      <w:rFonts w:ascii="Lucida Bright" w:eastAsiaTheme="minorHAnsi" w:hAnsi="Lucida Bright" w:cstheme="minorBidi"/>
      <w:sz w:val="20"/>
    </w:rPr>
  </w:style>
  <w:style w:type="paragraph" w:styleId="EnvelopeAddress">
    <w:name w:val="envelope address"/>
    <w:basedOn w:val="Normal"/>
    <w:semiHidden/>
    <w:rsid w:val="00E52C9A"/>
    <w:pPr>
      <w:framePr w:w="7920" w:h="1980" w:hRule="exact" w:hSpace="180" w:wrap="auto" w:hAnchor="page" w:xAlign="center" w:yAlign="bottom"/>
      <w:widowControl/>
      <w:tabs>
        <w:tab w:val="left" w:pos="720"/>
      </w:tabs>
      <w:autoSpaceDE/>
      <w:autoSpaceDN/>
      <w:adjustRightInd/>
      <w:ind w:left="2880"/>
    </w:pPr>
    <w:rPr>
      <w:rFonts w:ascii="Verdana" w:eastAsiaTheme="minorHAnsi" w:hAnsi="Verdana" w:cs="Arial"/>
      <w:sz w:val="20"/>
    </w:rPr>
  </w:style>
  <w:style w:type="paragraph" w:styleId="EnvelopeReturn">
    <w:name w:val="envelope return"/>
    <w:basedOn w:val="Normal"/>
    <w:semiHidden/>
    <w:rsid w:val="00E52C9A"/>
    <w:pPr>
      <w:widowControl/>
      <w:tabs>
        <w:tab w:val="left" w:pos="720"/>
      </w:tabs>
      <w:autoSpaceDE/>
      <w:autoSpaceDN/>
      <w:adjustRightInd/>
    </w:pPr>
    <w:rPr>
      <w:rFonts w:ascii="Verdana" w:eastAsiaTheme="minorHAnsi" w:hAnsi="Verdana" w:cs="Arial"/>
      <w:sz w:val="20"/>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pPr>
      <w:widowControl/>
      <w:tabs>
        <w:tab w:val="left" w:pos="720"/>
      </w:tabs>
      <w:autoSpaceDE/>
      <w:autoSpaceDN/>
      <w:adjustRightInd/>
    </w:pPr>
    <w:rPr>
      <w:rFonts w:ascii="Lucida Bright" w:eastAsiaTheme="minorHAnsi" w:hAnsi="Lucida Bright" w:cstheme="minorBidi"/>
      <w:sz w:val="20"/>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widowControl/>
      <w:tabs>
        <w:tab w:val="left" w:pos="720"/>
      </w:tabs>
      <w:autoSpaceDE/>
      <w:autoSpaceDN/>
      <w:adjustRightInd/>
      <w:ind w:left="240" w:hanging="240"/>
    </w:pPr>
    <w:rPr>
      <w:rFonts w:ascii="Lucida Bright" w:eastAsiaTheme="minorHAnsi" w:hAnsi="Lucida Bright" w:cstheme="minorBidi"/>
      <w:sz w:val="20"/>
    </w:r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widowControl/>
      <w:tabs>
        <w:tab w:val="left" w:pos="720"/>
      </w:tabs>
      <w:autoSpaceDE/>
      <w:autoSpaceDN/>
      <w:adjustRightInd/>
      <w:spacing w:before="120" w:after="100" w:afterAutospacing="1"/>
    </w:pPr>
    <w:rPr>
      <w:rFonts w:ascii="Verdana" w:eastAsiaTheme="minorHAnsi" w:hAnsi="Verdana" w:cs="Arial"/>
      <w:b/>
      <w:bCs/>
      <w:sz w:val="20"/>
    </w:rPr>
  </w:style>
  <w:style w:type="paragraph" w:styleId="List2">
    <w:name w:val="List 2"/>
    <w:basedOn w:val="Normal"/>
    <w:uiPriority w:val="5"/>
    <w:semiHidden/>
    <w:unhideWhenUsed/>
    <w:rsid w:val="00CC59A8"/>
    <w:pPr>
      <w:widowControl/>
      <w:tabs>
        <w:tab w:val="left" w:pos="720"/>
      </w:tabs>
      <w:autoSpaceDE/>
      <w:autoSpaceDN/>
      <w:adjustRightInd/>
      <w:ind w:left="720" w:hanging="360"/>
    </w:pPr>
    <w:rPr>
      <w:rFonts w:ascii="Lucida Bright" w:eastAsiaTheme="minorHAnsi" w:hAnsi="Lucida Bright" w:cstheme="minorBidi"/>
      <w:sz w:val="20"/>
    </w:rPr>
  </w:style>
  <w:style w:type="paragraph" w:styleId="List3">
    <w:name w:val="List 3"/>
    <w:basedOn w:val="Normal"/>
    <w:uiPriority w:val="5"/>
    <w:semiHidden/>
    <w:rsid w:val="00CC59A8"/>
    <w:pPr>
      <w:widowControl/>
      <w:tabs>
        <w:tab w:val="left" w:pos="720"/>
      </w:tabs>
      <w:autoSpaceDE/>
      <w:autoSpaceDN/>
      <w:adjustRightInd/>
      <w:ind w:left="1080" w:hanging="360"/>
    </w:pPr>
    <w:rPr>
      <w:rFonts w:ascii="Lucida Bright" w:eastAsiaTheme="minorHAnsi" w:hAnsi="Lucida Bright" w:cstheme="minorBidi"/>
      <w:sz w:val="20"/>
    </w:rPr>
  </w:style>
  <w:style w:type="paragraph" w:styleId="List4">
    <w:name w:val="List 4"/>
    <w:basedOn w:val="Normal"/>
    <w:uiPriority w:val="5"/>
    <w:semiHidden/>
    <w:rsid w:val="00CC59A8"/>
    <w:pPr>
      <w:widowControl/>
      <w:tabs>
        <w:tab w:val="left" w:pos="720"/>
      </w:tabs>
      <w:autoSpaceDE/>
      <w:autoSpaceDN/>
      <w:adjustRightInd/>
      <w:ind w:left="1440" w:hanging="360"/>
    </w:pPr>
    <w:rPr>
      <w:rFonts w:ascii="Lucida Bright" w:eastAsiaTheme="minorHAnsi" w:hAnsi="Lucida Bright" w:cstheme="minorBidi"/>
      <w:sz w:val="20"/>
    </w:rPr>
  </w:style>
  <w:style w:type="paragraph" w:styleId="List5">
    <w:name w:val="List 5"/>
    <w:basedOn w:val="Normal"/>
    <w:uiPriority w:val="5"/>
    <w:semiHidden/>
    <w:rsid w:val="00CC59A8"/>
    <w:pPr>
      <w:widowControl/>
      <w:tabs>
        <w:tab w:val="left" w:pos="720"/>
      </w:tabs>
      <w:autoSpaceDE/>
      <w:autoSpaceDN/>
      <w:adjustRightInd/>
      <w:ind w:left="1800" w:hanging="360"/>
    </w:pPr>
    <w:rPr>
      <w:rFonts w:ascii="Lucida Bright" w:eastAsiaTheme="minorHAnsi" w:hAnsi="Lucida Bright" w:cstheme="minorBidi"/>
      <w:sz w:val="20"/>
    </w:r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widowControl/>
      <w:numPr>
        <w:numId w:val="4"/>
      </w:numPr>
      <w:tabs>
        <w:tab w:val="left" w:pos="720"/>
      </w:tabs>
      <w:autoSpaceDE/>
      <w:autoSpaceDN/>
      <w:adjustRightInd/>
    </w:pPr>
    <w:rPr>
      <w:rFonts w:ascii="Lucida Bright" w:eastAsiaTheme="minorHAnsi" w:hAnsi="Lucida Bright" w:cstheme="minorBidi"/>
      <w:sz w:val="20"/>
    </w:rPr>
  </w:style>
  <w:style w:type="paragraph" w:styleId="ListBullet4">
    <w:name w:val="List Bullet 4"/>
    <w:basedOn w:val="Normal"/>
    <w:uiPriority w:val="5"/>
    <w:semiHidden/>
    <w:rsid w:val="00CC59A8"/>
    <w:pPr>
      <w:widowControl/>
      <w:numPr>
        <w:numId w:val="5"/>
      </w:numPr>
      <w:tabs>
        <w:tab w:val="left" w:pos="720"/>
      </w:tabs>
      <w:autoSpaceDE/>
      <w:autoSpaceDN/>
      <w:adjustRightInd/>
    </w:pPr>
    <w:rPr>
      <w:rFonts w:ascii="Lucida Bright" w:eastAsiaTheme="minorHAnsi" w:hAnsi="Lucida Bright" w:cstheme="minorBidi"/>
      <w:sz w:val="20"/>
    </w:rPr>
  </w:style>
  <w:style w:type="paragraph" w:styleId="ListBullet5">
    <w:name w:val="List Bullet 5"/>
    <w:basedOn w:val="Normal"/>
    <w:uiPriority w:val="5"/>
    <w:semiHidden/>
    <w:rsid w:val="00CC59A8"/>
    <w:pPr>
      <w:widowControl/>
      <w:numPr>
        <w:numId w:val="6"/>
      </w:numPr>
      <w:tabs>
        <w:tab w:val="left" w:pos="720"/>
      </w:tabs>
      <w:autoSpaceDE/>
      <w:autoSpaceDN/>
      <w:adjustRightInd/>
    </w:pPr>
    <w:rPr>
      <w:rFonts w:ascii="Lucida Bright" w:eastAsiaTheme="minorHAnsi" w:hAnsi="Lucida Bright" w:cstheme="minorBidi"/>
      <w:sz w:val="20"/>
    </w:rPr>
  </w:style>
  <w:style w:type="paragraph" w:styleId="ListNumber2">
    <w:name w:val="List Number 2"/>
    <w:basedOn w:val="Normal"/>
    <w:uiPriority w:val="5"/>
    <w:semiHidden/>
    <w:unhideWhenUsed/>
    <w:rsid w:val="00CC59A8"/>
    <w:pPr>
      <w:widowControl/>
      <w:numPr>
        <w:numId w:val="7"/>
      </w:numPr>
      <w:autoSpaceDE/>
      <w:autoSpaceDN/>
      <w:adjustRightInd/>
    </w:pPr>
    <w:rPr>
      <w:rFonts w:ascii="Lucida Bright" w:eastAsiaTheme="minorHAnsi" w:hAnsi="Lucida Bright" w:cstheme="minorBidi"/>
      <w:sz w:val="20"/>
    </w:rPr>
  </w:style>
  <w:style w:type="paragraph" w:styleId="ListNumber3">
    <w:name w:val="List Number 3"/>
    <w:basedOn w:val="Normal"/>
    <w:uiPriority w:val="5"/>
    <w:semiHidden/>
    <w:rsid w:val="00CC59A8"/>
    <w:pPr>
      <w:widowControl/>
      <w:numPr>
        <w:numId w:val="8"/>
      </w:numPr>
      <w:tabs>
        <w:tab w:val="left" w:pos="720"/>
      </w:tabs>
      <w:autoSpaceDE/>
      <w:autoSpaceDN/>
      <w:adjustRightInd/>
    </w:pPr>
    <w:rPr>
      <w:rFonts w:ascii="Lucida Bright" w:eastAsiaTheme="minorHAnsi" w:hAnsi="Lucida Bright" w:cstheme="minorBidi"/>
      <w:sz w:val="20"/>
    </w:rPr>
  </w:style>
  <w:style w:type="paragraph" w:styleId="ListNumber4">
    <w:name w:val="List Number 4"/>
    <w:basedOn w:val="Normal"/>
    <w:uiPriority w:val="5"/>
    <w:semiHidden/>
    <w:rsid w:val="00CC59A8"/>
    <w:pPr>
      <w:widowControl/>
      <w:numPr>
        <w:numId w:val="9"/>
      </w:numPr>
      <w:tabs>
        <w:tab w:val="left" w:pos="720"/>
      </w:tabs>
      <w:autoSpaceDE/>
      <w:autoSpaceDN/>
      <w:adjustRightInd/>
    </w:pPr>
    <w:rPr>
      <w:rFonts w:ascii="Lucida Bright" w:eastAsiaTheme="minorHAnsi" w:hAnsi="Lucida Bright" w:cstheme="minorBidi"/>
      <w:sz w:val="20"/>
    </w:rPr>
  </w:style>
  <w:style w:type="paragraph" w:styleId="ListNumber5">
    <w:name w:val="List Number 5"/>
    <w:basedOn w:val="Normal"/>
    <w:uiPriority w:val="5"/>
    <w:semiHidden/>
    <w:rsid w:val="00CC59A8"/>
    <w:pPr>
      <w:widowControl/>
      <w:numPr>
        <w:numId w:val="10"/>
      </w:numPr>
      <w:tabs>
        <w:tab w:val="left" w:pos="720"/>
      </w:tabs>
      <w:autoSpaceDE/>
      <w:autoSpaceDN/>
      <w:adjustRightInd/>
    </w:pPr>
    <w:rPr>
      <w:rFonts w:ascii="Lucida Bright" w:eastAsiaTheme="minorHAnsi" w:hAnsi="Lucida Bright" w:cstheme="minorBidi"/>
      <w:sz w:val="20"/>
    </w:rPr>
  </w:style>
  <w:style w:type="paragraph" w:styleId="Closing">
    <w:name w:val="Closing"/>
    <w:basedOn w:val="Normal"/>
    <w:link w:val="ClosingChar"/>
    <w:semiHidden/>
    <w:rsid w:val="00CC59A8"/>
    <w:pPr>
      <w:widowControl/>
      <w:tabs>
        <w:tab w:val="left" w:pos="720"/>
      </w:tabs>
      <w:autoSpaceDE/>
      <w:autoSpaceDN/>
      <w:adjustRightInd/>
      <w:ind w:left="4320"/>
    </w:pPr>
    <w:rPr>
      <w:rFonts w:ascii="Lucida Bright" w:eastAsiaTheme="minorHAnsi" w:hAnsi="Lucida Bright" w:cstheme="minorBidi"/>
      <w:sz w:val="20"/>
    </w:r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widowControl/>
      <w:tabs>
        <w:tab w:val="left" w:pos="720"/>
      </w:tabs>
      <w:autoSpaceDE/>
      <w:autoSpaceDN/>
      <w:adjustRightInd/>
      <w:spacing w:after="120"/>
      <w:ind w:left="360"/>
    </w:pPr>
    <w:rPr>
      <w:rFonts w:ascii="Lucida Bright" w:eastAsiaTheme="minorHAnsi" w:hAnsi="Lucida Bright" w:cstheme="minorBidi"/>
      <w:sz w:val="20"/>
    </w:r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widowControl/>
      <w:tabs>
        <w:tab w:val="left" w:pos="720"/>
      </w:tabs>
      <w:autoSpaceDE/>
      <w:autoSpaceDN/>
      <w:adjustRightInd/>
      <w:spacing w:after="120"/>
      <w:ind w:left="720"/>
    </w:pPr>
    <w:rPr>
      <w:rFonts w:ascii="Lucida Bright" w:eastAsiaTheme="minorHAnsi" w:hAnsi="Lucida Bright" w:cstheme="minorBidi"/>
      <w:sz w:val="20"/>
    </w:rPr>
  </w:style>
  <w:style w:type="paragraph" w:styleId="ListContinue3">
    <w:name w:val="List Continue 3"/>
    <w:basedOn w:val="Normal"/>
    <w:uiPriority w:val="6"/>
    <w:semiHidden/>
    <w:rsid w:val="00CC59A8"/>
    <w:pPr>
      <w:widowControl/>
      <w:tabs>
        <w:tab w:val="left" w:pos="720"/>
      </w:tabs>
      <w:autoSpaceDE/>
      <w:autoSpaceDN/>
      <w:adjustRightInd/>
      <w:spacing w:after="120"/>
      <w:ind w:left="1080"/>
    </w:pPr>
    <w:rPr>
      <w:rFonts w:ascii="Lucida Bright" w:eastAsiaTheme="minorHAnsi" w:hAnsi="Lucida Bright" w:cstheme="minorBidi"/>
      <w:sz w:val="20"/>
    </w:rPr>
  </w:style>
  <w:style w:type="paragraph" w:styleId="ListContinue4">
    <w:name w:val="List Continue 4"/>
    <w:basedOn w:val="Normal"/>
    <w:uiPriority w:val="6"/>
    <w:semiHidden/>
    <w:rsid w:val="00CC59A8"/>
    <w:pPr>
      <w:widowControl/>
      <w:tabs>
        <w:tab w:val="left" w:pos="720"/>
      </w:tabs>
      <w:autoSpaceDE/>
      <w:autoSpaceDN/>
      <w:adjustRightInd/>
      <w:spacing w:after="120"/>
      <w:ind w:left="1440"/>
    </w:pPr>
    <w:rPr>
      <w:rFonts w:ascii="Lucida Bright" w:eastAsiaTheme="minorHAnsi" w:hAnsi="Lucida Bright" w:cstheme="minorBidi"/>
      <w:sz w:val="20"/>
    </w:rPr>
  </w:style>
  <w:style w:type="paragraph" w:styleId="ListContinue5">
    <w:name w:val="List Continue 5"/>
    <w:basedOn w:val="Normal"/>
    <w:uiPriority w:val="6"/>
    <w:semiHidden/>
    <w:rsid w:val="00CC59A8"/>
    <w:pPr>
      <w:widowControl/>
      <w:tabs>
        <w:tab w:val="left" w:pos="720"/>
      </w:tabs>
      <w:autoSpaceDE/>
      <w:autoSpaceDN/>
      <w:adjustRightInd/>
      <w:spacing w:after="120"/>
      <w:ind w:left="1800"/>
    </w:pPr>
    <w:rPr>
      <w:rFonts w:ascii="Lucida Bright" w:eastAsiaTheme="minorHAnsi" w:hAnsi="Lucida Bright" w:cstheme="minorBidi"/>
      <w:sz w:val="20"/>
    </w:rPr>
  </w:style>
  <w:style w:type="paragraph" w:styleId="MessageHeader">
    <w:name w:val="Message Header"/>
    <w:basedOn w:val="Normal"/>
    <w:link w:val="MessageHeaderChar"/>
    <w:semiHidden/>
    <w:rsid w:val="00CC59A8"/>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ind w:left="1080" w:hanging="1080"/>
    </w:pPr>
    <w:rPr>
      <w:rFonts w:ascii="Arial" w:eastAsiaTheme="minorHAnsi" w:hAnsi="Arial" w:cs="Arial"/>
      <w:sz w:val="20"/>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pPr>
      <w:widowControl/>
      <w:tabs>
        <w:tab w:val="left" w:pos="720"/>
      </w:tabs>
      <w:autoSpaceDE/>
      <w:autoSpaceDN/>
      <w:adjustRightInd/>
    </w:pPr>
    <w:rPr>
      <w:rFonts w:ascii="Lucida Bright" w:eastAsiaTheme="minorHAnsi" w:hAnsi="Lucida Bright" w:cstheme="minorBidi"/>
      <w:sz w:val="20"/>
    </w:rPr>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pPr>
      <w:widowControl/>
      <w:tabs>
        <w:tab w:val="left" w:pos="720"/>
      </w:tabs>
      <w:autoSpaceDE/>
      <w:autoSpaceDN/>
      <w:adjustRightInd/>
    </w:pPr>
    <w:rPr>
      <w:rFonts w:ascii="Lucida Bright" w:eastAsiaTheme="minorHAnsi" w:hAnsi="Lucida Bright" w:cstheme="minorBidi"/>
      <w:sz w:val="20"/>
    </w:rPr>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pPr>
      <w:widowControl/>
      <w:tabs>
        <w:tab w:val="left" w:pos="720"/>
      </w:tabs>
      <w:autoSpaceDE/>
      <w:autoSpaceDN/>
      <w:adjustRightInd/>
    </w:pPr>
    <w:rPr>
      <w:rFonts w:ascii="Lucida Bright" w:eastAsiaTheme="minorHAnsi" w:hAnsi="Lucida Bright" w:cstheme="minorBidi"/>
      <w:sz w:val="20"/>
    </w:rPr>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widowControl/>
      <w:tabs>
        <w:tab w:val="left" w:pos="720"/>
      </w:tabs>
      <w:autoSpaceDE/>
      <w:autoSpaceDN/>
      <w:adjustRightInd/>
      <w:spacing w:after="120" w:line="480" w:lineRule="auto"/>
    </w:pPr>
    <w:rPr>
      <w:rFonts w:ascii="Lucida Bright" w:eastAsiaTheme="minorHAnsi" w:hAnsi="Lucida Bright" w:cstheme="minorBidi"/>
      <w:sz w:val="20"/>
    </w:r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widowControl/>
      <w:tabs>
        <w:tab w:val="left" w:pos="720"/>
      </w:tabs>
      <w:autoSpaceDE/>
      <w:autoSpaceDN/>
      <w:adjustRightInd/>
      <w:spacing w:after="120"/>
    </w:pPr>
    <w:rPr>
      <w:rFonts w:ascii="Lucida Bright" w:eastAsiaTheme="minorHAnsi" w:hAnsi="Lucida Bright" w:cstheme="minorBidi"/>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widowControl/>
      <w:tabs>
        <w:tab w:val="left" w:pos="720"/>
      </w:tabs>
      <w:autoSpaceDE/>
      <w:autoSpaceDN/>
      <w:adjustRightInd/>
      <w:spacing w:after="120" w:line="480" w:lineRule="auto"/>
      <w:ind w:left="360"/>
    </w:pPr>
    <w:rPr>
      <w:rFonts w:ascii="Lucida Bright" w:eastAsiaTheme="minorHAnsi" w:hAnsi="Lucida Bright" w:cstheme="minorBidi"/>
      <w:sz w:val="20"/>
    </w:r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widowControl/>
      <w:tabs>
        <w:tab w:val="left" w:pos="720"/>
      </w:tabs>
      <w:autoSpaceDE/>
      <w:autoSpaceDN/>
      <w:adjustRightInd/>
      <w:spacing w:after="120"/>
      <w:ind w:left="360"/>
    </w:pPr>
    <w:rPr>
      <w:rFonts w:ascii="Lucida Bright" w:eastAsiaTheme="minorHAnsi" w:hAnsi="Lucida Bright" w:cstheme="minorBidi"/>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widowControl/>
      <w:shd w:val="clear" w:color="auto" w:fill="FFFF00"/>
      <w:tabs>
        <w:tab w:val="left" w:pos="720"/>
      </w:tabs>
      <w:autoSpaceDE/>
      <w:autoSpaceDN/>
      <w:adjustRightInd/>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pPr>
      <w:widowControl/>
      <w:tabs>
        <w:tab w:val="left" w:pos="720"/>
      </w:tabs>
      <w:autoSpaceDE/>
      <w:autoSpaceDN/>
      <w:adjustRightInd/>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pPr>
      <w:widowControl/>
      <w:tabs>
        <w:tab w:val="left" w:pos="720"/>
      </w:tabs>
      <w:autoSpaceDE/>
      <w:autoSpaceDN/>
      <w:adjustRightInd/>
    </w:pPr>
    <w:rPr>
      <w:rFonts w:ascii="Lucida Bright" w:eastAsiaTheme="minorHAnsi" w:hAnsi="Lucida Bright" w:cstheme="minorBidi"/>
      <w:sz w:val="20"/>
    </w:rPr>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pPr>
      <w:widowControl/>
      <w:tabs>
        <w:tab w:val="left" w:pos="720"/>
      </w:tabs>
      <w:autoSpaceDE/>
      <w:autoSpaceDN/>
      <w:adjustRightInd/>
    </w:pPr>
    <w:rPr>
      <w:rFonts w:ascii="Lucida Bright" w:eastAsiaTheme="minorHAnsi" w:hAnsi="Lucida Bright" w:cstheme="minorBidi"/>
      <w:sz w:val="20"/>
    </w:rPr>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pPr>
      <w:widowControl/>
      <w:tabs>
        <w:tab w:val="left" w:pos="720"/>
      </w:tabs>
      <w:autoSpaceDE/>
      <w:autoSpaceDN/>
      <w:adjustRightInd/>
    </w:pPr>
    <w:rPr>
      <w:rFonts w:ascii="Lucida Bright" w:eastAsiaTheme="minorHAnsi" w:hAnsi="Lucida Bright" w:cstheme="minorBidi"/>
      <w:i/>
      <w:iCs/>
      <w:sz w:val="20"/>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pPr>
      <w:widowControl/>
      <w:tabs>
        <w:tab w:val="left" w:pos="720"/>
      </w:tabs>
      <w:autoSpaceDE/>
      <w:autoSpaceDN/>
      <w:adjustRightInd/>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pPr>
      <w:widowControl/>
      <w:tabs>
        <w:tab w:val="left" w:pos="720"/>
      </w:tabs>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character" w:styleId="UnresolvedMention">
    <w:name w:val="Unresolved Mention"/>
    <w:basedOn w:val="DefaultParagraphFont"/>
    <w:uiPriority w:val="99"/>
    <w:semiHidden/>
    <w:unhideWhenUsed/>
    <w:rsid w:val="00DF38E3"/>
    <w:rPr>
      <w:color w:val="605E5C"/>
      <w:shd w:val="clear" w:color="auto" w:fill="E1DFDD"/>
    </w:rPr>
  </w:style>
  <w:style w:type="character" w:customStyle="1" w:styleId="CharacterStyle2">
    <w:name w:val="Character Style 2"/>
    <w:uiPriority w:val="99"/>
    <w:rsid w:val="00E92B52"/>
    <w:rPr>
      <w:sz w:val="20"/>
      <w:szCs w:val="20"/>
    </w:rPr>
  </w:style>
  <w:style w:type="character" w:customStyle="1" w:styleId="CharacterStyle4">
    <w:name w:val="Character Style 4"/>
    <w:uiPriority w:val="99"/>
    <w:rsid w:val="00FE6310"/>
    <w:rPr>
      <w:sz w:val="24"/>
      <w:szCs w:val="24"/>
    </w:rPr>
  </w:style>
  <w:style w:type="paragraph" w:customStyle="1" w:styleId="Default">
    <w:name w:val="Default"/>
    <w:rsid w:val="003F37E0"/>
    <w:pPr>
      <w:autoSpaceDE w:val="0"/>
      <w:autoSpaceDN w:val="0"/>
      <w:adjustRightInd w:val="0"/>
      <w:spacing w:before="0" w:after="0"/>
    </w:pPr>
    <w:rPr>
      <w:rFonts w:cs="Georgia"/>
      <w:color w:val="000000"/>
    </w:rPr>
  </w:style>
  <w:style w:type="character" w:styleId="PlaceholderText">
    <w:name w:val="Placeholder Text"/>
    <w:basedOn w:val="DefaultParagraphFont"/>
    <w:uiPriority w:val="99"/>
    <w:semiHidden/>
    <w:rsid w:val="00820E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dwssa/guidance-petitioning-sole-source-aquifer-ssa-design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q.texas.gov/assets/public/compliance/monops/complaints/complaints.html" TargetMode="External"/><Relationship Id="rId4" Type="http://schemas.openxmlformats.org/officeDocument/2006/relationships/settings" Target="settings.xml"/><Relationship Id="rId9" Type="http://schemas.openxmlformats.org/officeDocument/2006/relationships/hyperlink" Target="http://www.tceq.texas.gov/complain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269A68-55F0-448E-997E-25A013EEF945}"/>
      </w:docPartPr>
      <w:docPartBody>
        <w:p w:rsidR="00996764" w:rsidRDefault="003E5D72">
          <w:r w:rsidRPr="00A006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72"/>
    <w:rsid w:val="003E5D72"/>
    <w:rsid w:val="003F0884"/>
    <w:rsid w:val="007B2475"/>
    <w:rsid w:val="00996764"/>
    <w:rsid w:val="00FB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D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C552-EA5D-4F6C-880A-2BC0470A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5540</Words>
  <Characters>31579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TXG920000-Response to public comments</vt:lpstr>
    </vt:vector>
  </TitlesOfParts>
  <Company/>
  <LinksUpToDate>false</LinksUpToDate>
  <CharactersWithSpaces>37045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TXG920000-Response to public comments</dc:title>
  <dc:subject/>
  <dc:creator>Joy Alabi</dc:creator>
  <cp:keywords/>
  <dc:description/>
  <cp:lastModifiedBy>Donan Akplogan</cp:lastModifiedBy>
  <cp:revision>3</cp:revision>
  <cp:lastPrinted>2019-03-27T20:41:00Z</cp:lastPrinted>
  <dcterms:created xsi:type="dcterms:W3CDTF">2022-03-24T17:24:00Z</dcterms:created>
  <dcterms:modified xsi:type="dcterms:W3CDTF">2022-03-31T12:41:00Z</dcterms:modified>
</cp:coreProperties>
</file>