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9A6F9" w14:textId="4270C994" w:rsidR="0089508A" w:rsidRPr="00444208" w:rsidRDefault="0089508A" w:rsidP="00444208">
      <w:pPr>
        <w:pStyle w:val="Heading1"/>
      </w:pPr>
      <w:r w:rsidRPr="00444208">
        <w:t>Area Source NESHAP for Miscellaneous Surface Coating</w:t>
      </w:r>
    </w:p>
    <w:p w14:paraId="37CB4431" w14:textId="4D1E1E47" w:rsidR="0089508A" w:rsidRDefault="0089508A" w:rsidP="00444208">
      <w:pPr>
        <w:pStyle w:val="BodyText"/>
      </w:pPr>
      <w:r>
        <w:t>On January 9, 2008 the Environmental Protection Agency (EPA) published the final rule for 40 CFR Part 63, Subpart HHHHHH National Emissions Standards for Hazardous Air Pollutants (NESHAP): Paint Stripping and Miscellaneous Surface Coating Operations at Area Sources.</w:t>
      </w:r>
      <w:r w:rsidR="00670F62">
        <w:t xml:space="preserve"> </w:t>
      </w:r>
      <w:r>
        <w:t xml:space="preserve">New sources must </w:t>
      </w:r>
      <w:proofErr w:type="gramStart"/>
      <w:r>
        <w:t>be in compliance</w:t>
      </w:r>
      <w:proofErr w:type="gramEnd"/>
      <w:r>
        <w:t xml:space="preserve"> immediately, and existing sources must be in compliance by January 10, 2011.</w:t>
      </w:r>
      <w:r w:rsidR="00670F62">
        <w:t xml:space="preserve"> </w:t>
      </w:r>
      <w:r>
        <w:t>This fact sheet provides important information on rule requirements for miscellaneous surface coaters. This rule is in addition to Texas Commission on Environmental Quality (TCEQ) rules you must follow.</w:t>
      </w:r>
      <w:r w:rsidR="00670F62">
        <w:t xml:space="preserve"> </w:t>
      </w:r>
      <w:r>
        <w:t xml:space="preserve">If you currently operate under a TCEQ Permit by Rule (PBR), please see the NESHAP/PBR comparison table for a comparison of changes that you may need to make. </w:t>
      </w:r>
    </w:p>
    <w:p w14:paraId="09C1D675" w14:textId="258CF27F" w:rsidR="0089508A" w:rsidRDefault="0089508A" w:rsidP="00444208">
      <w:pPr>
        <w:pStyle w:val="Heading1"/>
      </w:pPr>
      <w:r w:rsidRPr="00444208">
        <w:t>Does this Rule Apply to My Facility?</w:t>
      </w:r>
    </w:p>
    <w:p w14:paraId="5E9AD550" w14:textId="54BB3839" w:rsidR="0089508A" w:rsidRPr="00444208" w:rsidRDefault="0089508A" w:rsidP="00444208">
      <w:pPr>
        <w:pStyle w:val="Heading2"/>
      </w:pPr>
      <w:r w:rsidRPr="00444208">
        <w:t xml:space="preserve">Applicability: </w:t>
      </w:r>
    </w:p>
    <w:p w14:paraId="381538D8" w14:textId="5A63580E" w:rsidR="0089508A" w:rsidRPr="00444208" w:rsidRDefault="0089508A" w:rsidP="00444208">
      <w:pPr>
        <w:pStyle w:val="BodyText"/>
        <w:rPr>
          <w:b/>
        </w:rPr>
      </w:pPr>
      <w:r w:rsidRPr="00A260D7">
        <w:t>This rule applies to all miscellaneous surface coating operations that use a target Hazardous Air Pollutant (HAP) containing coating and do not meet one of the exemptions listed below.</w:t>
      </w:r>
      <w:r w:rsidR="00670F62" w:rsidRPr="00A260D7">
        <w:t xml:space="preserve"> </w:t>
      </w:r>
      <w:r w:rsidRPr="00A260D7">
        <w:rPr>
          <w:b/>
        </w:rPr>
        <w:t>If you do NOT spray apply any coatings that meet the above definition of a target HAP containing coating, then this rule does not apply to you.</w:t>
      </w:r>
    </w:p>
    <w:p w14:paraId="2916B80F" w14:textId="63CC6740" w:rsidR="0089508A" w:rsidRDefault="0089508A" w:rsidP="00444208">
      <w:pPr>
        <w:pStyle w:val="Heading2"/>
      </w:pPr>
      <w:r>
        <w:t>Definitions:</w:t>
      </w:r>
    </w:p>
    <w:p w14:paraId="79FC0376" w14:textId="27DE01E9" w:rsidR="0089508A" w:rsidRPr="00444208" w:rsidRDefault="0089508A" w:rsidP="00444208">
      <w:pPr>
        <w:pStyle w:val="BodyText"/>
      </w:pPr>
      <w:r>
        <w:rPr>
          <w:i/>
        </w:rPr>
        <w:t>Miscellaneous surface coating:</w:t>
      </w:r>
      <w:r>
        <w:t xml:space="preserve"> spray application of coatings that contain a target hazardous air pollutant (HAP) to any part or product made of metal or plastic or combinations of metal and plastic.</w:t>
      </w:r>
    </w:p>
    <w:p w14:paraId="15F98A37" w14:textId="54D3887B" w:rsidR="0089508A" w:rsidRPr="00444208" w:rsidRDefault="0089508A" w:rsidP="00444208">
      <w:pPr>
        <w:pStyle w:val="BodyText"/>
      </w:pPr>
      <w:r>
        <w:rPr>
          <w:b/>
        </w:rPr>
        <w:t>Note:</w:t>
      </w:r>
      <w:r>
        <w:t xml:space="preserve"> Under this rule, spray application of coatings to any mobile equipment that may be drawn and/or driven on a roadway or any self-propelled vehicle defines you as a </w:t>
      </w:r>
      <w:r>
        <w:rPr>
          <w:i/>
        </w:rPr>
        <w:t>motor vehicle and mobile equipment surface coater</w:t>
      </w:r>
      <w:r>
        <w:t xml:space="preserve">. Please see fact sheet for Auto Body Shops. </w:t>
      </w:r>
    </w:p>
    <w:p w14:paraId="02AABA83" w14:textId="3B2F05F1" w:rsidR="0089508A" w:rsidRPr="00444208" w:rsidRDefault="0089508A" w:rsidP="00444208">
      <w:pPr>
        <w:pStyle w:val="BodyText"/>
      </w:pPr>
      <w:r>
        <w:rPr>
          <w:i/>
        </w:rPr>
        <w:t>Target HAP containing coating:</w:t>
      </w:r>
      <w:r>
        <w:t xml:space="preserve"> a spray-applied coating that contains any individual target HAP that is an Occupational Safety and Health Administration (OSHA)–defined carcinogen as specified in 29 CFR 1910.1200(d)(4) at a concentration greater than 0.1 percent by mass, or greater than 1.0 percent by mass for any other individual target HAP compound.</w:t>
      </w:r>
    </w:p>
    <w:p w14:paraId="6AC1E20B" w14:textId="77777777" w:rsidR="0089508A" w:rsidRPr="00444208" w:rsidRDefault="0089508A" w:rsidP="00444208">
      <w:pPr>
        <w:pStyle w:val="BodyText"/>
        <w:rPr>
          <w:rStyle w:val="Emphasis"/>
        </w:rPr>
      </w:pPr>
      <w:r w:rsidRPr="00444208">
        <w:rPr>
          <w:rStyle w:val="Emphasis"/>
        </w:rPr>
        <w:t>How do I tell if my coating is a Target HAP containing coating?</w:t>
      </w:r>
    </w:p>
    <w:p w14:paraId="2DEBE68D" w14:textId="370C46BE" w:rsidR="0089508A" w:rsidRPr="00444208" w:rsidRDefault="0089508A" w:rsidP="00444208">
      <w:pPr>
        <w:pStyle w:val="BodyText"/>
      </w:pPr>
      <w:r>
        <w:t>Target HAPs are compounds of chromium (Cr), lead (Pb), manganese (Mn), nickel (Ni), or cadmium (Cd).</w:t>
      </w:r>
      <w:r w:rsidR="00670F62">
        <w:t xml:space="preserve"> </w:t>
      </w:r>
      <w:r>
        <w:t>Review the MSDS for each coating (including any additives) that you use at your facility.</w:t>
      </w:r>
    </w:p>
    <w:p w14:paraId="51926949" w14:textId="0E2134FB" w:rsidR="0089508A" w:rsidRPr="00444208" w:rsidRDefault="0089508A" w:rsidP="00444208">
      <w:pPr>
        <w:pStyle w:val="BodyText"/>
        <w:ind w:left="720"/>
      </w:pPr>
      <w:r>
        <w:t xml:space="preserve">If any coating, as applied, has </w:t>
      </w:r>
      <w:r>
        <w:rPr>
          <w:i/>
        </w:rPr>
        <w:t>more than</w:t>
      </w:r>
      <w:r>
        <w:t xml:space="preserve"> 1.0 percent by mass of a compound that has one or more of the above elements, then it is a target HAP containing coating.</w:t>
      </w:r>
    </w:p>
    <w:p w14:paraId="78C964D6" w14:textId="24654909" w:rsidR="0089508A" w:rsidRDefault="0089508A" w:rsidP="00444208">
      <w:pPr>
        <w:pStyle w:val="BodyText"/>
        <w:ind w:left="720"/>
      </w:pPr>
      <w:r>
        <w:lastRenderedPageBreak/>
        <w:t xml:space="preserve">If any coating, as applied, has </w:t>
      </w:r>
      <w:r>
        <w:rPr>
          <w:i/>
        </w:rPr>
        <w:t>less than</w:t>
      </w:r>
      <w:r>
        <w:t xml:space="preserve"> 1.0 percent by mass of a compound that has one or more of the above elements, you will need to review the list of OSHA defined carcinogens.</w:t>
      </w:r>
      <w:r w:rsidR="00670F62">
        <w:t xml:space="preserve"> </w:t>
      </w:r>
      <w:r>
        <w:t>If the compound is on the OSHA list, and is present in more than 0.1 percent by mass, then it is a target HAP containing coating.</w:t>
      </w:r>
    </w:p>
    <w:p w14:paraId="612E5B4E" w14:textId="77777777" w:rsidR="0089508A" w:rsidRDefault="0089508A" w:rsidP="00523BC8">
      <w:pPr>
        <w:pStyle w:val="BodyText"/>
        <w:spacing w:after="120"/>
      </w:pPr>
      <w:r>
        <w:t>Review these two sources to determine if the compound is an OSHA carcinogen:</w:t>
      </w:r>
    </w:p>
    <w:p w14:paraId="4A719906" w14:textId="41647430" w:rsidR="0089508A" w:rsidRPr="00444208" w:rsidRDefault="0089508A" w:rsidP="00444208">
      <w:pPr>
        <w:pStyle w:val="ListBullet"/>
      </w:pPr>
      <w:r w:rsidRPr="00444208">
        <w:t xml:space="preserve">National Toxicology Program at </w:t>
      </w:r>
      <w:hyperlink r:id="rId11" w:history="1">
        <w:r w:rsidRPr="00444208">
          <w:rPr>
            <w:rStyle w:val="Hyperlink"/>
          </w:rPr>
          <w:t>http://ntp.niehs.nih.gov/</w:t>
        </w:r>
      </w:hyperlink>
      <w:r w:rsidRPr="00444208">
        <w:t xml:space="preserve"> and click on “Report on Carcinogens” under the Public Health section; and</w:t>
      </w:r>
    </w:p>
    <w:p w14:paraId="7422366C" w14:textId="2253B03C" w:rsidR="0089508A" w:rsidRPr="00444208" w:rsidRDefault="0089508A" w:rsidP="00444208">
      <w:pPr>
        <w:pStyle w:val="ListBullet"/>
      </w:pPr>
      <w:r w:rsidRPr="00444208">
        <w:t xml:space="preserve">International Agency for Research on Cancer Monographs at </w:t>
      </w:r>
      <w:hyperlink r:id="rId12" w:history="1">
        <w:r w:rsidRPr="00444208">
          <w:rPr>
            <w:rStyle w:val="Hyperlink"/>
          </w:rPr>
          <w:t>http://monographs.iarc.fr/</w:t>
        </w:r>
      </w:hyperlink>
    </w:p>
    <w:p w14:paraId="0291DFC8" w14:textId="45CA3BB7" w:rsidR="0089508A" w:rsidRDefault="0089508A" w:rsidP="00444208">
      <w:pPr>
        <w:pStyle w:val="BodyText"/>
      </w:pPr>
      <w:r>
        <w:rPr>
          <w:i/>
        </w:rPr>
        <w:t>Area Source of HAP:</w:t>
      </w:r>
      <w:r>
        <w:rPr>
          <w:b/>
        </w:rPr>
        <w:t xml:space="preserve"> </w:t>
      </w:r>
      <w:r>
        <w:t>any stationary source that emits (or has the potential to emit) less than 10 tons per year (tpy) of a single HAP or 25 tpy of a combination of HAPs.</w:t>
      </w:r>
      <w:r w:rsidR="00670F62">
        <w:t xml:space="preserve"> </w:t>
      </w:r>
      <w:r>
        <w:t>Your “potential to emit” is the total amount of air contaminants that would be emitted if you could operate 24 hours a day for 365 days per year.</w:t>
      </w:r>
    </w:p>
    <w:p w14:paraId="644E73A8" w14:textId="7A61B2FE" w:rsidR="0089508A" w:rsidRDefault="0089508A" w:rsidP="00444208">
      <w:pPr>
        <w:pStyle w:val="BodyText"/>
      </w:pPr>
      <w:r>
        <w:rPr>
          <w:i/>
        </w:rPr>
        <w:t>New Source:</w:t>
      </w:r>
      <w:r w:rsidR="00670F62">
        <w:t xml:space="preserve"> </w:t>
      </w:r>
      <w:r>
        <w:t>you are a new source if you 1) began operation or construction of motor vehicle or mobile equipment surface coating after September 17, 2007, and/or 2) began the use of new coating equipment (new source of HAP emissions) after September 17, 2007.</w:t>
      </w:r>
    </w:p>
    <w:p w14:paraId="189ADC14" w14:textId="1B93AE9C" w:rsidR="0089508A" w:rsidRPr="00444208" w:rsidRDefault="0089508A" w:rsidP="00444208">
      <w:pPr>
        <w:pStyle w:val="BodyText"/>
      </w:pPr>
      <w:r>
        <w:rPr>
          <w:b/>
        </w:rPr>
        <w:t>Note</w:t>
      </w:r>
      <w:r>
        <w:t xml:space="preserve">: If you purchase and install spray booths, enclosed spray gun cleaners, or purchase new spray guns to comply with this rule at an existing source (facility that was coating prior to September 17, 2007), these actions </w:t>
      </w:r>
      <w:proofErr w:type="gramStart"/>
      <w:r>
        <w:t>would</w:t>
      </w:r>
      <w:proofErr w:type="gramEnd"/>
      <w:r>
        <w:t xml:space="preserve"> not make your existing source a new source.</w:t>
      </w:r>
    </w:p>
    <w:p w14:paraId="126D811B" w14:textId="1780B226" w:rsidR="0089508A" w:rsidRPr="00444208" w:rsidRDefault="0089508A" w:rsidP="00444208">
      <w:pPr>
        <w:pStyle w:val="Heading2"/>
      </w:pPr>
      <w:r>
        <w:t>Exemptions:</w:t>
      </w:r>
    </w:p>
    <w:p w14:paraId="7E5F0FED" w14:textId="2E04BC8C" w:rsidR="0089508A" w:rsidRPr="00A260D7" w:rsidRDefault="0089508A" w:rsidP="00444208">
      <w:pPr>
        <w:pStyle w:val="BodyText"/>
        <w:rPr>
          <w:rFonts w:cs="Times New Roman"/>
        </w:rPr>
      </w:pPr>
      <w:r w:rsidRPr="00A260D7">
        <w:t>This rule does not apply to the following:</w:t>
      </w:r>
    </w:p>
    <w:p w14:paraId="1FF2F19C" w14:textId="77777777" w:rsidR="0089508A" w:rsidRPr="00523BC8" w:rsidRDefault="0089508A" w:rsidP="00523BC8">
      <w:pPr>
        <w:pStyle w:val="ListBullet"/>
      </w:pPr>
      <w:r w:rsidRPr="00523BC8">
        <w:t>Facility maintenance, which includes the application of coatings to:</w:t>
      </w:r>
    </w:p>
    <w:p w14:paraId="462BA08C" w14:textId="77777777" w:rsidR="0089508A" w:rsidRPr="00444208" w:rsidRDefault="0089508A" w:rsidP="00444208">
      <w:pPr>
        <w:pStyle w:val="ListBullet2"/>
      </w:pPr>
      <w:r w:rsidRPr="00444208">
        <w:t xml:space="preserve">stationary structures or their accessories at the site of </w:t>
      </w:r>
      <w:proofErr w:type="gramStart"/>
      <w:r w:rsidRPr="00444208">
        <w:t>installation;</w:t>
      </w:r>
      <w:proofErr w:type="gramEnd"/>
    </w:p>
    <w:p w14:paraId="12BB0184" w14:textId="77777777" w:rsidR="0089508A" w:rsidRPr="00444208" w:rsidRDefault="0089508A" w:rsidP="00444208">
      <w:pPr>
        <w:pStyle w:val="ListBullet2"/>
      </w:pPr>
      <w:r w:rsidRPr="00444208">
        <w:t xml:space="preserve">portable buildings at the site of </w:t>
      </w:r>
      <w:proofErr w:type="gramStart"/>
      <w:r w:rsidRPr="00444208">
        <w:t>installation;</w:t>
      </w:r>
      <w:proofErr w:type="gramEnd"/>
    </w:p>
    <w:p w14:paraId="2B35D296" w14:textId="77777777" w:rsidR="0089508A" w:rsidRPr="00444208" w:rsidRDefault="0089508A" w:rsidP="00444208">
      <w:pPr>
        <w:pStyle w:val="ListBullet2"/>
      </w:pPr>
      <w:r w:rsidRPr="00444208">
        <w:t xml:space="preserve">pavements or </w:t>
      </w:r>
      <w:proofErr w:type="gramStart"/>
      <w:r w:rsidRPr="00444208">
        <w:t>curbs;</w:t>
      </w:r>
      <w:proofErr w:type="gramEnd"/>
    </w:p>
    <w:p w14:paraId="4ADC8FB8" w14:textId="77777777" w:rsidR="0089508A" w:rsidRPr="00444208" w:rsidRDefault="0089508A" w:rsidP="00444208">
      <w:pPr>
        <w:pStyle w:val="ListBullet2"/>
      </w:pPr>
      <w:r w:rsidRPr="00444208">
        <w:t xml:space="preserve">the refinishing of mobile equipment in the field or at the site where they are used in service and at which they are intended to remain indefinitely after </w:t>
      </w:r>
      <w:proofErr w:type="gramStart"/>
      <w:r w:rsidRPr="00444208">
        <w:t>refinishing;</w:t>
      </w:r>
      <w:proofErr w:type="gramEnd"/>
    </w:p>
    <w:p w14:paraId="0A826DC6" w14:textId="77777777" w:rsidR="0089508A" w:rsidRPr="00444208" w:rsidRDefault="0089508A" w:rsidP="00444208">
      <w:pPr>
        <w:pStyle w:val="ListBullet2"/>
      </w:pPr>
      <w:r w:rsidRPr="00444208">
        <w:t xml:space="preserve">farm equipment and mining equipment for which it is not practical or feasible to move to a dedicated mobile equipment refinishing </w:t>
      </w:r>
      <w:proofErr w:type="gramStart"/>
      <w:r w:rsidRPr="00444208">
        <w:t>facility;</w:t>
      </w:r>
      <w:proofErr w:type="gramEnd"/>
    </w:p>
    <w:p w14:paraId="211CA3B9" w14:textId="14520DC2" w:rsidR="0089508A" w:rsidRPr="00444208" w:rsidRDefault="0089508A" w:rsidP="00444208">
      <w:pPr>
        <w:pStyle w:val="ListBullet2"/>
      </w:pPr>
      <w:r w:rsidRPr="00444208">
        <w:t xml:space="preserve">equipment, such as fork trucks, that are used in a manufacturing facility and which are refinished in that same facility. </w:t>
      </w:r>
    </w:p>
    <w:p w14:paraId="3CC1FEF1" w14:textId="0B983AD9" w:rsidR="0089508A" w:rsidRPr="00444208" w:rsidRDefault="0089508A" w:rsidP="00444208">
      <w:pPr>
        <w:pStyle w:val="BlockText"/>
        <w:rPr>
          <w:rFonts w:cs="Times New Roman"/>
        </w:rPr>
      </w:pPr>
      <w:r w:rsidRPr="00444208">
        <w:rPr>
          <w:i/>
          <w:iCs/>
        </w:rPr>
        <w:t xml:space="preserve">Facility maintenance </w:t>
      </w:r>
      <w:r w:rsidRPr="00444208">
        <w:t>does not include surface coating of motor vehicles, mobile equipment, or items that routinely leave and return to the facility, such as delivery trucks, rental equipment, or containers used to transport, deliver, distribute, or dispense commercial products to customers, such as compressed gas canisters.</w:t>
      </w:r>
    </w:p>
    <w:p w14:paraId="795E306D" w14:textId="4C501297" w:rsidR="0089508A" w:rsidRPr="00523BC8" w:rsidRDefault="0089508A" w:rsidP="00523BC8">
      <w:pPr>
        <w:pStyle w:val="ListBullet"/>
      </w:pPr>
      <w:r w:rsidRPr="00523BC8">
        <w:lastRenderedPageBreak/>
        <w:t>Surface coating or paint stripping performed by individuals on their personal vehicles, possessions, or property, either as a hobby or for maintenance.</w:t>
      </w:r>
      <w:r w:rsidR="00670F62" w:rsidRPr="00523BC8">
        <w:t xml:space="preserve"> </w:t>
      </w:r>
      <w:r w:rsidRPr="00523BC8">
        <w:t>This rule also does not apply when these operations are performed by individuals for others without compensation.</w:t>
      </w:r>
      <w:r w:rsidR="00670F62" w:rsidRPr="00523BC8">
        <w:t xml:space="preserve"> </w:t>
      </w:r>
      <w:r w:rsidRPr="00523BC8">
        <w:t xml:space="preserve">However, an individual who spray applies surface coating to more than two motor vehicles or pieces of mobile equipment per year is subject to the rule regardless of whether compensation is </w:t>
      </w:r>
      <w:proofErr w:type="gramStart"/>
      <w:r w:rsidRPr="00523BC8">
        <w:t>received;</w:t>
      </w:r>
      <w:proofErr w:type="gramEnd"/>
    </w:p>
    <w:p w14:paraId="2D74AD60" w14:textId="77777777" w:rsidR="0089508A" w:rsidRPr="00523BC8" w:rsidRDefault="0089508A" w:rsidP="00523BC8">
      <w:pPr>
        <w:pStyle w:val="ListBullet"/>
      </w:pPr>
      <w:r w:rsidRPr="00523BC8">
        <w:t xml:space="preserve">Surface coating performed on site at installations owned or operated by the Armed Forces of the United States (US) (including the Coast Guard and the National Guard of any State), the National Aeronautics and Space Administration, or the National Nuclear Security </w:t>
      </w:r>
      <w:proofErr w:type="gramStart"/>
      <w:r w:rsidRPr="00523BC8">
        <w:t>Administration;</w:t>
      </w:r>
      <w:proofErr w:type="gramEnd"/>
      <w:r w:rsidRPr="00523BC8">
        <w:t xml:space="preserve"> </w:t>
      </w:r>
    </w:p>
    <w:p w14:paraId="702C0561" w14:textId="77777777" w:rsidR="0089508A" w:rsidRPr="00523BC8" w:rsidRDefault="0089508A" w:rsidP="00523BC8">
      <w:pPr>
        <w:pStyle w:val="ListBullet"/>
      </w:pPr>
      <w:r w:rsidRPr="00523BC8">
        <w:t xml:space="preserve">Surface coating of military munitions, as defined in subsection 63.11180, manufactured by or for the Armed Forces of the US (including the Coast Guard and the National Guard of any State) or equipment directly and exclusively used for the purposes of transporting military </w:t>
      </w:r>
      <w:proofErr w:type="gramStart"/>
      <w:r w:rsidRPr="00523BC8">
        <w:t>munitions;</w:t>
      </w:r>
      <w:proofErr w:type="gramEnd"/>
      <w:r w:rsidRPr="00523BC8">
        <w:t xml:space="preserve"> </w:t>
      </w:r>
    </w:p>
    <w:p w14:paraId="63D73B58" w14:textId="77777777" w:rsidR="0089508A" w:rsidRPr="00523BC8" w:rsidRDefault="0089508A" w:rsidP="00523BC8">
      <w:pPr>
        <w:pStyle w:val="ListBullet"/>
      </w:pPr>
      <w:r w:rsidRPr="00523BC8">
        <w:t xml:space="preserve">Surface coating that meets the definition of ‘‘research and laboratory activities’’ in subsection 63.11180 of the final </w:t>
      </w:r>
      <w:proofErr w:type="gramStart"/>
      <w:r w:rsidRPr="00523BC8">
        <w:t>rule;</w:t>
      </w:r>
      <w:proofErr w:type="gramEnd"/>
      <w:r w:rsidRPr="00523BC8">
        <w:t xml:space="preserve"> </w:t>
      </w:r>
    </w:p>
    <w:p w14:paraId="530C8864" w14:textId="77777777" w:rsidR="0089508A" w:rsidRPr="00523BC8" w:rsidRDefault="0089508A" w:rsidP="00523BC8">
      <w:pPr>
        <w:pStyle w:val="ListBullet"/>
      </w:pPr>
      <w:r w:rsidRPr="00523BC8">
        <w:t xml:space="preserve">Surface coating that meets the definition of ‘‘quality control activities’’ in subsection 63.11180 of the final </w:t>
      </w:r>
      <w:proofErr w:type="gramStart"/>
      <w:r w:rsidRPr="00523BC8">
        <w:t>rule;</w:t>
      </w:r>
      <w:proofErr w:type="gramEnd"/>
      <w:r w:rsidRPr="00523BC8">
        <w:t xml:space="preserve"> </w:t>
      </w:r>
    </w:p>
    <w:p w14:paraId="286B79D2" w14:textId="7C9CDCE4" w:rsidR="0089508A" w:rsidRPr="00523BC8" w:rsidRDefault="0089508A" w:rsidP="00523BC8">
      <w:pPr>
        <w:pStyle w:val="ListBullet"/>
      </w:pPr>
      <w:r w:rsidRPr="00523BC8">
        <w:t>Surface coating that is specifically covered by another area source NESHAP.</w:t>
      </w:r>
    </w:p>
    <w:p w14:paraId="67682D2E" w14:textId="132BDB6F" w:rsidR="0089508A" w:rsidRDefault="0089508A" w:rsidP="00444208">
      <w:pPr>
        <w:pStyle w:val="Heading1"/>
      </w:pPr>
      <w:r w:rsidRPr="00A260D7">
        <w:t>How do I Comply?</w:t>
      </w:r>
    </w:p>
    <w:p w14:paraId="0E7A7765" w14:textId="227F4E6D" w:rsidR="0089508A" w:rsidRDefault="0089508A" w:rsidP="00444208">
      <w:pPr>
        <w:pStyle w:val="BodyText"/>
      </w:pPr>
      <w:r w:rsidRPr="00A260D7">
        <w:t>This rule requires you to submit an initial notification, certify compliance, use certain management practices, train painters, and keep records. You may also have to submit an annual report.</w:t>
      </w:r>
    </w:p>
    <w:p w14:paraId="28AB5CA3" w14:textId="0090E58F" w:rsidR="0089508A" w:rsidRDefault="0089508A" w:rsidP="00444208">
      <w:pPr>
        <w:pStyle w:val="Heading2"/>
      </w:pPr>
      <w:r>
        <w:t>Notification Requirements:</w:t>
      </w:r>
    </w:p>
    <w:p w14:paraId="13A6C843" w14:textId="5832A978" w:rsidR="0089508A" w:rsidRDefault="0089508A" w:rsidP="00444208">
      <w:pPr>
        <w:pStyle w:val="BodyText"/>
      </w:pPr>
      <w:r>
        <w:t>New sources must notify that they are subject to this rule by 180 days after operations began or by July 7, 2008, whichever is later.</w:t>
      </w:r>
      <w:r w:rsidR="00670F62">
        <w:t xml:space="preserve"> </w:t>
      </w:r>
      <w:r>
        <w:t>Existing sources must notify by January 11, 2010.</w:t>
      </w:r>
      <w:r w:rsidR="00670F62">
        <w:t xml:space="preserve"> </w:t>
      </w:r>
      <w:r>
        <w:t xml:space="preserve">Notification forms can be found at </w:t>
      </w:r>
      <w:r>
        <w:rPr>
          <w:rStyle w:val="Hyperlink"/>
          <w:rFonts w:eastAsiaTheme="majorEastAsia"/>
        </w:rPr>
        <w:t>www.tceq.state.tx.us</w:t>
      </w:r>
      <w:r>
        <w:t>.</w:t>
      </w:r>
      <w:r w:rsidR="00670F62">
        <w:t xml:space="preserve"> </w:t>
      </w:r>
      <w:r>
        <w:t>Click on “Forms and Publications.”</w:t>
      </w:r>
      <w:r w:rsidR="00670F62">
        <w:t xml:space="preserve"> </w:t>
      </w:r>
      <w:r>
        <w:t>Search for form number 20453 for new sources and form number 20454 for existing sources.</w:t>
      </w:r>
      <w:r w:rsidR="00670F62">
        <w:t xml:space="preserve"> </w:t>
      </w:r>
      <w:r>
        <w:t>Notifications must be sent to EPA and TCEQ.</w:t>
      </w:r>
      <w:r w:rsidR="00670F62">
        <w:t xml:space="preserve"> </w:t>
      </w:r>
      <w:r>
        <w:t>Addresses for each are included on the forms.</w:t>
      </w:r>
      <w:r w:rsidR="00670F62">
        <w:t xml:space="preserve"> </w:t>
      </w:r>
      <w:r>
        <w:t>For new sources, notification and certification of compliance are on one form.</w:t>
      </w:r>
      <w:r w:rsidR="00670F62">
        <w:t xml:space="preserve"> </w:t>
      </w:r>
      <w:r>
        <w:t xml:space="preserve">For existing sources, certification of compliance can be submitted separately </w:t>
      </w:r>
      <w:proofErr w:type="gramStart"/>
      <w:r>
        <w:t>as long as</w:t>
      </w:r>
      <w:proofErr w:type="gramEnd"/>
      <w:r>
        <w:t xml:space="preserve"> it is submitted by March 11, 2011. </w:t>
      </w:r>
    </w:p>
    <w:p w14:paraId="1E002798" w14:textId="748B646D" w:rsidR="0089508A" w:rsidRDefault="0089508A" w:rsidP="00444208">
      <w:pPr>
        <w:pStyle w:val="BodyText"/>
      </w:pPr>
      <w:r>
        <w:rPr>
          <w:b/>
        </w:rPr>
        <w:t>Note</w:t>
      </w:r>
      <w:r>
        <w:t>: Actual compliance is required immediately for new sources, and by January 10, 2011, for existing sources.</w:t>
      </w:r>
    </w:p>
    <w:p w14:paraId="028B95A3" w14:textId="465EB39C" w:rsidR="0089508A" w:rsidRPr="00444208" w:rsidRDefault="0089508A" w:rsidP="00444208">
      <w:pPr>
        <w:pStyle w:val="Heading2"/>
      </w:pPr>
      <w:r>
        <w:t>Management Practices:</w:t>
      </w:r>
    </w:p>
    <w:p w14:paraId="3FF830E8" w14:textId="21426AF7" w:rsidR="0089508A" w:rsidRPr="00444208" w:rsidRDefault="0089508A" w:rsidP="007A629A">
      <w:pPr>
        <w:pStyle w:val="CM11"/>
        <w:numPr>
          <w:ilvl w:val="0"/>
          <w:numId w:val="16"/>
        </w:numPr>
        <w:ind w:right="120"/>
        <w:rPr>
          <w:rFonts w:ascii="Lucida Bright" w:hAnsi="Lucida Bright"/>
          <w:color w:val="000000"/>
          <w:sz w:val="22"/>
          <w:szCs w:val="22"/>
        </w:rPr>
      </w:pPr>
      <w:r w:rsidRPr="00444208">
        <w:rPr>
          <w:rFonts w:ascii="Lucida Bright" w:hAnsi="Lucida Bright"/>
          <w:sz w:val="22"/>
          <w:szCs w:val="22"/>
        </w:rPr>
        <w:t>You must apply coatings with a high volume, low pressure (HVLP) spray gun, electrostatic application, airless spray gun, or air-assisted airless spray gun. You may use an equivalent technology that is demonstrated by the spray gun manufacturer to achieve transfer efficiency comparable to one of the spray gun technologies listed above, and for which written approval has been obtained from the Administrator (EPA).</w:t>
      </w:r>
      <w:r w:rsidR="00670F62" w:rsidRPr="00444208">
        <w:rPr>
          <w:rFonts w:ascii="Lucida Bright" w:hAnsi="Lucida Bright"/>
          <w:sz w:val="22"/>
          <w:szCs w:val="22"/>
        </w:rPr>
        <w:t xml:space="preserve"> </w:t>
      </w:r>
    </w:p>
    <w:p w14:paraId="2F7911F2" w14:textId="1A36A699" w:rsidR="0089508A" w:rsidRPr="00444208" w:rsidRDefault="0089508A" w:rsidP="007A629A">
      <w:pPr>
        <w:pStyle w:val="Default"/>
        <w:numPr>
          <w:ilvl w:val="0"/>
          <w:numId w:val="16"/>
        </w:numPr>
        <w:rPr>
          <w:rFonts w:ascii="Lucida Bright" w:hAnsi="Lucida Bright" w:cs="Times New Roman"/>
          <w:sz w:val="22"/>
          <w:szCs w:val="22"/>
        </w:rPr>
      </w:pPr>
      <w:r w:rsidRPr="00444208">
        <w:rPr>
          <w:rFonts w:ascii="Lucida Bright" w:hAnsi="Lucida Bright" w:cs="Times New Roman"/>
          <w:sz w:val="22"/>
          <w:szCs w:val="22"/>
        </w:rPr>
        <w:lastRenderedPageBreak/>
        <w:t>All spray-applied coatings must be applied in a preparation station or spray booth.</w:t>
      </w:r>
      <w:r w:rsidR="00670F62" w:rsidRPr="00444208">
        <w:rPr>
          <w:rFonts w:ascii="Lucida Bright" w:hAnsi="Lucida Bright" w:cs="Times New Roman"/>
          <w:sz w:val="22"/>
          <w:szCs w:val="22"/>
        </w:rPr>
        <w:t xml:space="preserve"> </w:t>
      </w:r>
      <w:r w:rsidRPr="00444208">
        <w:rPr>
          <w:rFonts w:ascii="Lucida Bright" w:hAnsi="Lucida Bright" w:cs="Times New Roman"/>
          <w:sz w:val="22"/>
          <w:szCs w:val="22"/>
        </w:rPr>
        <w:t xml:space="preserve">Spray booths and prep stations that are used to coat miscellaneous parts and products must have a full roof and at least three complete walls or complete side curtains. They must be ventilated so that air is drawn into the booth. The walls and roof of a booth may have openings to allow for conveyors and parts to pass through the booth during the coating process. </w:t>
      </w:r>
    </w:p>
    <w:p w14:paraId="52B23D57" w14:textId="0BC6BCCF" w:rsidR="0089508A" w:rsidRPr="00444208" w:rsidRDefault="0089508A" w:rsidP="007A629A">
      <w:pPr>
        <w:pStyle w:val="Default"/>
        <w:numPr>
          <w:ilvl w:val="0"/>
          <w:numId w:val="16"/>
        </w:numPr>
        <w:rPr>
          <w:rFonts w:ascii="Lucida Bright" w:hAnsi="Lucida Bright" w:cs="Times New Roman"/>
          <w:sz w:val="22"/>
          <w:szCs w:val="22"/>
        </w:rPr>
      </w:pPr>
      <w:r w:rsidRPr="00444208">
        <w:rPr>
          <w:rFonts w:ascii="Lucida Bright" w:hAnsi="Lucida Bright" w:cs="Times New Roman"/>
          <w:b/>
          <w:sz w:val="22"/>
          <w:szCs w:val="22"/>
        </w:rPr>
        <w:t>Note:</w:t>
      </w:r>
      <w:r w:rsidRPr="00444208">
        <w:rPr>
          <w:rFonts w:ascii="Lucida Bright" w:hAnsi="Lucida Bright" w:cs="Times New Roman"/>
          <w:sz w:val="22"/>
          <w:szCs w:val="22"/>
        </w:rPr>
        <w:t xml:space="preserve"> If you operate under a TCEQ surface coating Permit by Rule with more stringent booth requirements, you must meet the more stringent requirements.</w:t>
      </w:r>
      <w:r w:rsidR="00670F62" w:rsidRPr="00444208">
        <w:rPr>
          <w:rFonts w:ascii="Lucida Bright" w:hAnsi="Lucida Bright" w:cs="Times New Roman"/>
          <w:sz w:val="22"/>
          <w:szCs w:val="22"/>
        </w:rPr>
        <w:t xml:space="preserve"> </w:t>
      </w:r>
      <w:r w:rsidRPr="00444208">
        <w:rPr>
          <w:rFonts w:ascii="Lucida Bright" w:hAnsi="Lucida Bright" w:cs="Times New Roman"/>
          <w:sz w:val="22"/>
          <w:szCs w:val="22"/>
        </w:rPr>
        <w:t xml:space="preserve">Please see PBR/NESHAP comparison table at </w:t>
      </w:r>
      <w:r w:rsidRPr="00444208">
        <w:rPr>
          <w:rStyle w:val="Hyperlink"/>
          <w:rFonts w:ascii="Lucida Bright" w:eastAsiaTheme="majorEastAsia" w:hAnsi="Lucida Bright" w:cs="Times New Roman"/>
          <w:sz w:val="22"/>
          <w:szCs w:val="22"/>
        </w:rPr>
        <w:t>www.sblga.info</w:t>
      </w:r>
      <w:r w:rsidRPr="00444208">
        <w:rPr>
          <w:rFonts w:ascii="Lucida Bright" w:hAnsi="Lucida Bright" w:cs="Times New Roman"/>
          <w:sz w:val="22"/>
          <w:szCs w:val="22"/>
        </w:rPr>
        <w:t xml:space="preserve"> and click on “Assistance Tools for Auto Body, Surface Coating, and Paint Stripping”.</w:t>
      </w:r>
    </w:p>
    <w:p w14:paraId="1AE816F0" w14:textId="77777777" w:rsidR="0089508A" w:rsidRPr="00444208" w:rsidRDefault="0089508A" w:rsidP="007A629A">
      <w:pPr>
        <w:pStyle w:val="CM11"/>
        <w:numPr>
          <w:ilvl w:val="0"/>
          <w:numId w:val="16"/>
        </w:numPr>
        <w:ind w:right="120"/>
        <w:rPr>
          <w:rFonts w:ascii="Lucida Bright" w:hAnsi="Lucida Bright"/>
          <w:color w:val="000000"/>
          <w:sz w:val="22"/>
          <w:szCs w:val="22"/>
        </w:rPr>
      </w:pPr>
      <w:r w:rsidRPr="00444208">
        <w:rPr>
          <w:rFonts w:ascii="Lucida Bright" w:hAnsi="Lucida Bright"/>
          <w:color w:val="000000"/>
          <w:sz w:val="22"/>
          <w:szCs w:val="22"/>
        </w:rPr>
        <w:t xml:space="preserve">The exhaust from the prep station or spray booth must be fitted with filters demonstrated to achieve at least 98 percent filter efficiency of paint overspray. </w:t>
      </w:r>
    </w:p>
    <w:p w14:paraId="18C66514" w14:textId="19C5687B" w:rsidR="0089508A" w:rsidRPr="00523BC8" w:rsidRDefault="0089508A" w:rsidP="00670F62">
      <w:pPr>
        <w:numPr>
          <w:ilvl w:val="0"/>
          <w:numId w:val="17"/>
        </w:numPr>
        <w:autoSpaceDE w:val="0"/>
        <w:autoSpaceDN w:val="0"/>
        <w:adjustRightInd w:val="0"/>
        <w:rPr>
          <w:rFonts w:ascii="Lucida Bright" w:hAnsi="Lucida Bright"/>
          <w:color w:val="000000"/>
          <w:sz w:val="22"/>
          <w:szCs w:val="22"/>
        </w:rPr>
      </w:pPr>
      <w:r w:rsidRPr="00444208">
        <w:rPr>
          <w:rFonts w:ascii="Lucida Bright" w:hAnsi="Lucida Bright"/>
          <w:color w:val="000000"/>
          <w:sz w:val="22"/>
          <w:szCs w:val="22"/>
        </w:rPr>
        <w:t>Spray guns are to be cleaned in an enclosed spray gun cleaner or by cleaning the disassembled gun parts by hand.</w:t>
      </w:r>
      <w:r w:rsidR="00670F62" w:rsidRPr="00444208">
        <w:rPr>
          <w:rFonts w:ascii="Lucida Bright" w:hAnsi="Lucida Bright"/>
          <w:color w:val="000000"/>
          <w:sz w:val="22"/>
          <w:szCs w:val="22"/>
        </w:rPr>
        <w:t xml:space="preserve"> </w:t>
      </w:r>
      <w:r w:rsidRPr="00444208">
        <w:rPr>
          <w:rFonts w:ascii="Lucida Bright" w:hAnsi="Lucida Bright"/>
          <w:color w:val="000000"/>
          <w:sz w:val="22"/>
          <w:szCs w:val="22"/>
        </w:rPr>
        <w:t xml:space="preserve">No spray gun cleaning is to be performed by spraying solvent through the gun, creating an atomized mist. </w:t>
      </w:r>
    </w:p>
    <w:p w14:paraId="0BFE1D6E" w14:textId="436B139D" w:rsidR="0089508A" w:rsidRPr="00523BC8" w:rsidRDefault="0089508A" w:rsidP="00523BC8">
      <w:pPr>
        <w:pStyle w:val="Heading2"/>
      </w:pPr>
      <w:r w:rsidRPr="00A260D7">
        <w:t>Training:</w:t>
      </w:r>
    </w:p>
    <w:p w14:paraId="2EBBC972" w14:textId="77777777" w:rsidR="0089508A" w:rsidRPr="00444208" w:rsidRDefault="0089508A" w:rsidP="007A629A">
      <w:pPr>
        <w:numPr>
          <w:ilvl w:val="0"/>
          <w:numId w:val="17"/>
        </w:numPr>
        <w:autoSpaceDE w:val="0"/>
        <w:autoSpaceDN w:val="0"/>
        <w:adjustRightInd w:val="0"/>
        <w:spacing w:line="200" w:lineRule="atLeast"/>
        <w:rPr>
          <w:rFonts w:ascii="Lucida Bright" w:hAnsi="Lucida Bright"/>
          <w:color w:val="000000"/>
          <w:sz w:val="22"/>
          <w:szCs w:val="22"/>
        </w:rPr>
      </w:pPr>
      <w:r w:rsidRPr="00444208">
        <w:rPr>
          <w:rFonts w:ascii="Lucida Bright" w:hAnsi="Lucida Bright"/>
          <w:color w:val="000000"/>
          <w:sz w:val="22"/>
          <w:szCs w:val="22"/>
        </w:rPr>
        <w:t>All painters that spray apply coatings must certify that they have completed training in techniques to minimize paint overspray.</w:t>
      </w:r>
    </w:p>
    <w:p w14:paraId="752BF500" w14:textId="77777777" w:rsidR="0089508A" w:rsidRPr="00444208" w:rsidRDefault="0089508A" w:rsidP="007A629A">
      <w:pPr>
        <w:numPr>
          <w:ilvl w:val="0"/>
          <w:numId w:val="17"/>
        </w:numPr>
        <w:autoSpaceDE w:val="0"/>
        <w:autoSpaceDN w:val="0"/>
        <w:adjustRightInd w:val="0"/>
        <w:spacing w:line="200" w:lineRule="atLeast"/>
        <w:rPr>
          <w:rFonts w:ascii="Lucida Bright" w:hAnsi="Lucida Bright"/>
          <w:color w:val="000000"/>
          <w:sz w:val="22"/>
          <w:szCs w:val="22"/>
        </w:rPr>
      </w:pPr>
      <w:r w:rsidRPr="00444208">
        <w:rPr>
          <w:rFonts w:ascii="Lucida Bright" w:hAnsi="Lucida Bright"/>
          <w:color w:val="000000"/>
          <w:sz w:val="22"/>
          <w:szCs w:val="22"/>
        </w:rPr>
        <w:t>To comply with the painter training requirements, all spray painters at new sources</w:t>
      </w:r>
      <w:r w:rsidRPr="00444208">
        <w:rPr>
          <w:rFonts w:ascii="Lucida Bright" w:hAnsi="Lucida Bright"/>
          <w:color w:val="000000"/>
          <w:sz w:val="22"/>
          <w:szCs w:val="22"/>
          <w:u w:val="single"/>
        </w:rPr>
        <w:t xml:space="preserve"> </w:t>
      </w:r>
      <w:r w:rsidRPr="00444208">
        <w:rPr>
          <w:rFonts w:ascii="Lucida Bright" w:hAnsi="Lucida Bright"/>
          <w:color w:val="000000"/>
          <w:sz w:val="22"/>
          <w:szCs w:val="22"/>
        </w:rPr>
        <w:t>must complete training no later than 180 days after hiring, or by July 7, 2008, whichever is later. All spray painters at existing sources must complete training no later than 180 days after hiring, or by January 9, 2011, whichever is later.</w:t>
      </w:r>
    </w:p>
    <w:p w14:paraId="18EA73D1" w14:textId="3F885B07" w:rsidR="0089508A" w:rsidRPr="00523BC8" w:rsidRDefault="0089508A" w:rsidP="00523BC8">
      <w:pPr>
        <w:numPr>
          <w:ilvl w:val="0"/>
          <w:numId w:val="17"/>
        </w:numPr>
        <w:autoSpaceDE w:val="0"/>
        <w:autoSpaceDN w:val="0"/>
        <w:adjustRightInd w:val="0"/>
        <w:spacing w:line="200" w:lineRule="atLeast"/>
        <w:rPr>
          <w:rFonts w:ascii="Lucida Bright" w:hAnsi="Lucida Bright"/>
          <w:color w:val="000000"/>
          <w:sz w:val="22"/>
          <w:szCs w:val="22"/>
        </w:rPr>
      </w:pPr>
      <w:r w:rsidRPr="00444208">
        <w:rPr>
          <w:rFonts w:ascii="Lucida Bright" w:hAnsi="Lucida Bright"/>
          <w:color w:val="000000"/>
          <w:sz w:val="22"/>
          <w:szCs w:val="22"/>
        </w:rPr>
        <w:t>Initial painter training will be valid for a period of five years, and refresher training must be repeated at least once every five years. Painters that completed training in the last five years before the compliance date will be able to use that training to satisfy the initial training requirement.</w:t>
      </w:r>
      <w:r w:rsidR="00670F62" w:rsidRPr="00444208">
        <w:rPr>
          <w:rFonts w:ascii="Lucida Bright" w:hAnsi="Lucida Bright"/>
          <w:color w:val="000000"/>
          <w:sz w:val="22"/>
          <w:szCs w:val="22"/>
        </w:rPr>
        <w:t xml:space="preserve"> </w:t>
      </w:r>
      <w:r w:rsidRPr="00444208">
        <w:rPr>
          <w:rFonts w:ascii="Lucida Bright" w:hAnsi="Lucida Bright"/>
          <w:color w:val="000000"/>
          <w:sz w:val="22"/>
          <w:szCs w:val="22"/>
        </w:rPr>
        <w:t xml:space="preserve">These painters must still renew training within five years of the initial training date. </w:t>
      </w:r>
    </w:p>
    <w:p w14:paraId="7B654873" w14:textId="1133BF88" w:rsidR="0089508A" w:rsidRPr="00444208" w:rsidRDefault="0089508A" w:rsidP="00523BC8">
      <w:pPr>
        <w:pStyle w:val="BlockText"/>
        <w:ind w:left="900"/>
      </w:pPr>
      <w:r w:rsidRPr="00444208">
        <w:rPr>
          <w:b/>
        </w:rPr>
        <w:t>Initial and refresher training</w:t>
      </w:r>
      <w:r w:rsidRPr="00444208">
        <w:t xml:space="preserve"> must address the following topics to reduce coating overspray and emissions: </w:t>
      </w:r>
    </w:p>
    <w:p w14:paraId="77996E51" w14:textId="77777777" w:rsidR="0089508A" w:rsidRPr="00444208" w:rsidRDefault="0089508A" w:rsidP="007A629A">
      <w:pPr>
        <w:numPr>
          <w:ilvl w:val="0"/>
          <w:numId w:val="18"/>
        </w:numPr>
        <w:autoSpaceDE w:val="0"/>
        <w:autoSpaceDN w:val="0"/>
        <w:adjustRightInd w:val="0"/>
        <w:rPr>
          <w:rFonts w:ascii="Lucida Bright" w:hAnsi="Lucida Bright"/>
          <w:color w:val="000000"/>
          <w:sz w:val="22"/>
          <w:szCs w:val="22"/>
        </w:rPr>
      </w:pPr>
      <w:r w:rsidRPr="00444208">
        <w:rPr>
          <w:rFonts w:ascii="Lucida Bright" w:hAnsi="Lucida Bright"/>
          <w:color w:val="000000"/>
          <w:sz w:val="22"/>
          <w:szCs w:val="22"/>
        </w:rPr>
        <w:t xml:space="preserve">spray gun equipment selection, set up, and operation, including measuring coating viscosity, selecting the proper fluid tip or nozzle, and achieving the proper spray pattern, air pressure and volume, and fluid delivery </w:t>
      </w:r>
      <w:proofErr w:type="gramStart"/>
      <w:r w:rsidRPr="00444208">
        <w:rPr>
          <w:rFonts w:ascii="Lucida Bright" w:hAnsi="Lucida Bright"/>
          <w:color w:val="000000"/>
          <w:sz w:val="22"/>
          <w:szCs w:val="22"/>
        </w:rPr>
        <w:t>rate;</w:t>
      </w:r>
      <w:proofErr w:type="gramEnd"/>
      <w:r w:rsidRPr="00444208">
        <w:rPr>
          <w:rFonts w:ascii="Lucida Bright" w:hAnsi="Lucida Bright"/>
          <w:color w:val="000000"/>
          <w:sz w:val="22"/>
          <w:szCs w:val="22"/>
        </w:rPr>
        <w:t xml:space="preserve"> </w:t>
      </w:r>
    </w:p>
    <w:p w14:paraId="542A1415" w14:textId="77777777" w:rsidR="0089508A" w:rsidRPr="00444208" w:rsidRDefault="0089508A" w:rsidP="007A629A">
      <w:pPr>
        <w:numPr>
          <w:ilvl w:val="0"/>
          <w:numId w:val="19"/>
        </w:numPr>
        <w:autoSpaceDE w:val="0"/>
        <w:autoSpaceDN w:val="0"/>
        <w:adjustRightInd w:val="0"/>
        <w:rPr>
          <w:rFonts w:ascii="Lucida Bright" w:hAnsi="Lucida Bright"/>
          <w:color w:val="000000"/>
          <w:sz w:val="22"/>
          <w:szCs w:val="22"/>
        </w:rPr>
      </w:pPr>
      <w:r w:rsidRPr="00444208">
        <w:rPr>
          <w:rFonts w:ascii="Lucida Bright" w:hAnsi="Lucida Bright"/>
          <w:color w:val="000000"/>
          <w:sz w:val="22"/>
          <w:szCs w:val="22"/>
        </w:rPr>
        <w:t xml:space="preserve">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w:t>
      </w:r>
      <w:proofErr w:type="gramStart"/>
      <w:r w:rsidRPr="00444208">
        <w:rPr>
          <w:rFonts w:ascii="Lucida Bright" w:hAnsi="Lucida Bright"/>
          <w:color w:val="000000"/>
          <w:sz w:val="22"/>
          <w:szCs w:val="22"/>
        </w:rPr>
        <w:t>stroke;</w:t>
      </w:r>
      <w:proofErr w:type="gramEnd"/>
      <w:r w:rsidRPr="00444208">
        <w:rPr>
          <w:rFonts w:ascii="Lucida Bright" w:hAnsi="Lucida Bright"/>
          <w:color w:val="000000"/>
          <w:sz w:val="22"/>
          <w:szCs w:val="22"/>
        </w:rPr>
        <w:t xml:space="preserve"> </w:t>
      </w:r>
    </w:p>
    <w:p w14:paraId="6D5150CD" w14:textId="77777777" w:rsidR="0089508A" w:rsidRPr="00444208" w:rsidRDefault="0089508A" w:rsidP="007A629A">
      <w:pPr>
        <w:numPr>
          <w:ilvl w:val="0"/>
          <w:numId w:val="20"/>
        </w:numPr>
        <w:autoSpaceDE w:val="0"/>
        <w:autoSpaceDN w:val="0"/>
        <w:adjustRightInd w:val="0"/>
        <w:rPr>
          <w:rFonts w:ascii="Lucida Bright" w:hAnsi="Lucida Bright"/>
          <w:color w:val="000000"/>
          <w:sz w:val="22"/>
          <w:szCs w:val="22"/>
        </w:rPr>
      </w:pPr>
      <w:r w:rsidRPr="00444208">
        <w:rPr>
          <w:rFonts w:ascii="Lucida Bright" w:hAnsi="Lucida Bright"/>
          <w:color w:val="000000"/>
          <w:sz w:val="22"/>
          <w:szCs w:val="22"/>
        </w:rPr>
        <w:t>routine spray booth and filter maintenance, including filter selection and installation; and</w:t>
      </w:r>
    </w:p>
    <w:p w14:paraId="04EFBEA2" w14:textId="58BC922E" w:rsidR="0089508A" w:rsidRPr="00523BC8" w:rsidRDefault="0089508A" w:rsidP="00523BC8">
      <w:pPr>
        <w:numPr>
          <w:ilvl w:val="0"/>
          <w:numId w:val="21"/>
        </w:numPr>
        <w:autoSpaceDE w:val="0"/>
        <w:autoSpaceDN w:val="0"/>
        <w:adjustRightInd w:val="0"/>
        <w:rPr>
          <w:rFonts w:ascii="Lucida Bright" w:hAnsi="Lucida Bright"/>
          <w:color w:val="000000"/>
          <w:sz w:val="22"/>
          <w:szCs w:val="22"/>
        </w:rPr>
      </w:pPr>
      <w:r w:rsidRPr="00444208">
        <w:rPr>
          <w:rFonts w:ascii="Lucida Bright" w:hAnsi="Lucida Bright"/>
          <w:color w:val="000000"/>
          <w:sz w:val="22"/>
          <w:szCs w:val="22"/>
        </w:rPr>
        <w:t xml:space="preserve">environmental compliance with the requirements of this subpart. </w:t>
      </w:r>
    </w:p>
    <w:p w14:paraId="7C711108" w14:textId="5540E03A" w:rsidR="0089508A" w:rsidRPr="00444208" w:rsidRDefault="0089508A" w:rsidP="00523BC8">
      <w:pPr>
        <w:pStyle w:val="BlockText"/>
        <w:ind w:left="900"/>
      </w:pPr>
      <w:r w:rsidRPr="00444208">
        <w:rPr>
          <w:b/>
        </w:rPr>
        <w:t>Owners and operators</w:t>
      </w:r>
      <w:r w:rsidRPr="00444208">
        <w:t xml:space="preserve"> who can show, by documentation or certification, that a painter’s work experience and/or training has resulted in training equivalent to what is required as</w:t>
      </w:r>
      <w:r w:rsidR="00A260D7" w:rsidRPr="00444208">
        <w:t xml:space="preserve"> </w:t>
      </w:r>
      <w:r w:rsidRPr="00444208">
        <w:t>stated above are not required to provide the initial training</w:t>
      </w:r>
    </w:p>
    <w:p w14:paraId="69CE1084" w14:textId="77777777" w:rsidR="0089508A" w:rsidRDefault="0089508A" w:rsidP="00444208">
      <w:pPr>
        <w:pStyle w:val="Heading2"/>
      </w:pPr>
      <w:r>
        <w:lastRenderedPageBreak/>
        <w:t>Record Keeping:</w:t>
      </w:r>
    </w:p>
    <w:p w14:paraId="78996473" w14:textId="77777777" w:rsidR="0089508A" w:rsidRDefault="0089508A" w:rsidP="00523BC8">
      <w:pPr>
        <w:pStyle w:val="BodyText"/>
        <w:spacing w:after="120"/>
      </w:pPr>
      <w:r>
        <w:t>Records must be kept for five years. They must be kept on site for at least two years, and must include the following:</w:t>
      </w:r>
    </w:p>
    <w:p w14:paraId="7C788A68" w14:textId="77777777" w:rsidR="0089508A" w:rsidRDefault="0089508A" w:rsidP="00523BC8">
      <w:pPr>
        <w:pStyle w:val="ListBullet"/>
      </w:pPr>
      <w:r>
        <w:t xml:space="preserve">certification that each painter has completed training, with the date of the initial training and dates of any refresher </w:t>
      </w:r>
      <w:proofErr w:type="gramStart"/>
      <w:r>
        <w:t>training;</w:t>
      </w:r>
      <w:proofErr w:type="gramEnd"/>
    </w:p>
    <w:p w14:paraId="3762C4CC" w14:textId="77777777" w:rsidR="0089508A" w:rsidRDefault="0089508A" w:rsidP="00523BC8">
      <w:pPr>
        <w:pStyle w:val="ListBullet"/>
      </w:pPr>
      <w:r>
        <w:t>documentation of the spray booth filter-efficiency, such as data from the manufacturer; and</w:t>
      </w:r>
    </w:p>
    <w:p w14:paraId="63249A41" w14:textId="77777777" w:rsidR="0089508A" w:rsidRPr="00444208" w:rsidRDefault="0089508A" w:rsidP="00523BC8">
      <w:pPr>
        <w:pStyle w:val="ListBullet"/>
        <w:rPr>
          <w:szCs w:val="22"/>
        </w:rPr>
      </w:pPr>
      <w:r w:rsidRPr="00444208">
        <w:rPr>
          <w:szCs w:val="22"/>
        </w:rPr>
        <w:t xml:space="preserve">records of notifications and reports sent to EPA and </w:t>
      </w:r>
      <w:proofErr w:type="gramStart"/>
      <w:r w:rsidRPr="00444208">
        <w:rPr>
          <w:szCs w:val="22"/>
        </w:rPr>
        <w:t>TCEQ;</w:t>
      </w:r>
      <w:proofErr w:type="gramEnd"/>
    </w:p>
    <w:p w14:paraId="0E3E88C8" w14:textId="77777777" w:rsidR="0089508A" w:rsidRPr="00444208" w:rsidRDefault="0089508A" w:rsidP="00523BC8">
      <w:pPr>
        <w:pStyle w:val="ListBullet"/>
        <w:rPr>
          <w:szCs w:val="22"/>
        </w:rPr>
      </w:pPr>
      <w:r w:rsidRPr="00444208">
        <w:rPr>
          <w:szCs w:val="22"/>
        </w:rPr>
        <w:t xml:space="preserve">records of any deviation from the requirements of this rule, including the date and time, description, and corrective action taken regarding the </w:t>
      </w:r>
      <w:proofErr w:type="gramStart"/>
      <w:r w:rsidRPr="00444208">
        <w:rPr>
          <w:szCs w:val="22"/>
        </w:rPr>
        <w:t>deviation;</w:t>
      </w:r>
      <w:proofErr w:type="gramEnd"/>
      <w:r w:rsidRPr="00444208">
        <w:rPr>
          <w:szCs w:val="22"/>
        </w:rPr>
        <w:t xml:space="preserve"> </w:t>
      </w:r>
    </w:p>
    <w:p w14:paraId="101219FB" w14:textId="77777777" w:rsidR="0089508A" w:rsidRPr="00444208" w:rsidRDefault="0089508A" w:rsidP="00523BC8">
      <w:pPr>
        <w:pStyle w:val="ListBullet"/>
        <w:rPr>
          <w:szCs w:val="22"/>
        </w:rPr>
      </w:pPr>
      <w:r w:rsidRPr="00444208">
        <w:rPr>
          <w:szCs w:val="22"/>
        </w:rPr>
        <w:t>records verifying the compliance used in the preparation of the initial notification, certification of compliance, and annual notification of changes report; and</w:t>
      </w:r>
    </w:p>
    <w:p w14:paraId="15B5B90B" w14:textId="7C12FB7C" w:rsidR="0089508A" w:rsidRPr="00523BC8" w:rsidRDefault="0089508A" w:rsidP="00523BC8">
      <w:pPr>
        <w:pStyle w:val="ListBullet"/>
        <w:rPr>
          <w:szCs w:val="22"/>
        </w:rPr>
      </w:pPr>
      <w:r w:rsidRPr="00444208">
        <w:rPr>
          <w:szCs w:val="22"/>
        </w:rPr>
        <w:t>documentation from the manufacturer for any spray gun that does not meet the definition of an HVLP spray gun, electrostatic spray gun, airless spray gun, or air-assisted airless spray gun that demonstrates the gun meets transfer efficiency equal to one of the other allowed types of spray guns.</w:t>
      </w:r>
    </w:p>
    <w:p w14:paraId="4F720B3D" w14:textId="15FE562E" w:rsidR="0089508A" w:rsidRDefault="0089508A" w:rsidP="00444208">
      <w:pPr>
        <w:pStyle w:val="Heading2"/>
      </w:pPr>
      <w:r>
        <w:t>Annual Reporting:</w:t>
      </w:r>
    </w:p>
    <w:p w14:paraId="7BF20B7B" w14:textId="53159E70" w:rsidR="0089508A" w:rsidRDefault="0089508A" w:rsidP="00444208">
      <w:pPr>
        <w:pStyle w:val="BodyText"/>
      </w:pPr>
      <w:r>
        <w:t>You are required to submit an Annual Notification of Changes Report in each calendar year in which information submitted in either the initial notification, certification of compliance, or if a previous annual notification of changes report has changed.</w:t>
      </w:r>
      <w:r w:rsidR="00670F62">
        <w:t xml:space="preserve"> </w:t>
      </w:r>
      <w:r>
        <w:t>The annual notifications of changes report also includes any deviations from the requirements regarding training and management practices outlined in this fact sheet.</w:t>
      </w:r>
      <w:r w:rsidR="00670F62">
        <w:t xml:space="preserve"> </w:t>
      </w:r>
    </w:p>
    <w:p w14:paraId="57D27250" w14:textId="1032D26A" w:rsidR="0089508A" w:rsidRDefault="0089508A" w:rsidP="00523BC8">
      <w:pPr>
        <w:pStyle w:val="BodyText"/>
        <w:spacing w:after="120"/>
      </w:pPr>
      <w:r>
        <w:t>The annual notification of changes report must be submitted before March 1 of each calendar year when reportable changes have occurred and must include the following information:</w:t>
      </w:r>
    </w:p>
    <w:p w14:paraId="3F785D99" w14:textId="77777777" w:rsidR="0089508A" w:rsidRPr="00444208" w:rsidRDefault="0089508A" w:rsidP="007A629A">
      <w:pPr>
        <w:numPr>
          <w:ilvl w:val="0"/>
          <w:numId w:val="23"/>
        </w:numPr>
        <w:rPr>
          <w:rFonts w:ascii="Lucida Bright" w:hAnsi="Lucida Bright"/>
          <w:sz w:val="22"/>
          <w:szCs w:val="22"/>
        </w:rPr>
      </w:pPr>
      <w:r w:rsidRPr="00444208">
        <w:rPr>
          <w:rFonts w:ascii="Lucida Bright" w:hAnsi="Lucida Bright"/>
          <w:sz w:val="22"/>
          <w:szCs w:val="22"/>
        </w:rPr>
        <w:t>your company's name and the street address (physical location) of the affected source and the street address where compliance records are maintained, if different; and</w:t>
      </w:r>
    </w:p>
    <w:p w14:paraId="5DDB795E" w14:textId="74A2DCDA" w:rsidR="0089508A" w:rsidRPr="00444208" w:rsidRDefault="0089508A" w:rsidP="0089508A">
      <w:pPr>
        <w:numPr>
          <w:ilvl w:val="0"/>
          <w:numId w:val="23"/>
        </w:numPr>
        <w:rPr>
          <w:rFonts w:ascii="Lucida Bright" w:hAnsi="Lucida Bright"/>
          <w:sz w:val="22"/>
          <w:szCs w:val="22"/>
        </w:rPr>
      </w:pPr>
      <w:r w:rsidRPr="00444208">
        <w:rPr>
          <w:rFonts w:ascii="Lucida Bright" w:hAnsi="Lucida Bright"/>
          <w:sz w:val="22"/>
          <w:szCs w:val="22"/>
        </w:rPr>
        <w:t>the name, title, address, telephone, e-mail address (if available) and signature of the certifying company official, certifying the truth, accuracy, and completeness of the notification and a statement of whether the source has complied with all the relevant standards and other requirements of this subpart or an explanation of any noncompliance and a description of corrective actions being taken to achieve compliance.</w:t>
      </w:r>
    </w:p>
    <w:p w14:paraId="76A0729C" w14:textId="79940050" w:rsidR="0089508A" w:rsidRDefault="0089508A" w:rsidP="00444208">
      <w:pPr>
        <w:pStyle w:val="BodyText"/>
      </w:pPr>
      <w:r>
        <w:t>These requirements are in addition to TCEQ authorizations and recordkeeping and reporting requirements for surface coaters.</w:t>
      </w:r>
      <w:r w:rsidR="00670F62">
        <w:t xml:space="preserve"> </w:t>
      </w:r>
      <w:r>
        <w:t xml:space="preserve">To find out about specific authorizations for these businesses, please call TCEQ’s Small Business and Local Government Assistance confidential hotline at 1-800-447-2827 or visit </w:t>
      </w:r>
      <w:r>
        <w:rPr>
          <w:rStyle w:val="Hyperlink"/>
          <w:rFonts w:eastAsiaTheme="majorEastAsia"/>
        </w:rPr>
        <w:t>www.sblga.info</w:t>
      </w:r>
      <w:r>
        <w:t xml:space="preserve"> and click on “Surface Coating”.</w:t>
      </w:r>
    </w:p>
    <w:p w14:paraId="0459C808" w14:textId="77777777" w:rsidR="0089508A" w:rsidRDefault="0089508A" w:rsidP="00444208">
      <w:pPr>
        <w:pStyle w:val="BodyText"/>
      </w:pPr>
      <w:r>
        <w:t xml:space="preserve">Web site link to the rule: </w:t>
      </w:r>
      <w:r>
        <w:rPr>
          <w:rStyle w:val="Hyperlink"/>
          <w:rFonts w:eastAsiaTheme="majorEastAsia"/>
        </w:rPr>
        <w:t>http://www.epa.gov/fedrgstr/EPA-AIR/2008/January/Day-09/a24718.pdf</w:t>
      </w:r>
    </w:p>
    <w:p w14:paraId="771F9528" w14:textId="6536BB4F" w:rsidR="0089508A" w:rsidRPr="00670F62" w:rsidRDefault="0089508A" w:rsidP="00444208">
      <w:pPr>
        <w:pStyle w:val="Heading2"/>
      </w:pPr>
      <w:r>
        <w:lastRenderedPageBreak/>
        <w:t>Important Dates to Remember</w:t>
      </w:r>
    </w:p>
    <w:tbl>
      <w:tblPr>
        <w:tblStyle w:val="TCEQTable-Calibri"/>
        <w:tblW w:w="0" w:type="auto"/>
        <w:tblLook w:val="01E0" w:firstRow="1" w:lastRow="1" w:firstColumn="1" w:lastColumn="1" w:noHBand="0" w:noVBand="0"/>
      </w:tblPr>
      <w:tblGrid>
        <w:gridCol w:w="1975"/>
        <w:gridCol w:w="3690"/>
        <w:gridCol w:w="3685"/>
      </w:tblGrid>
      <w:tr w:rsidR="0089508A" w14:paraId="368D20D8" w14:textId="77777777" w:rsidTr="00523BC8">
        <w:trPr>
          <w:cnfStyle w:val="100000000000" w:firstRow="1" w:lastRow="0" w:firstColumn="0" w:lastColumn="0" w:oddVBand="0" w:evenVBand="0" w:oddHBand="0" w:evenHBand="0" w:firstRowFirstColumn="0" w:firstRowLastColumn="0" w:lastRowFirstColumn="0" w:lastRowLastColumn="0"/>
        </w:trPr>
        <w:tc>
          <w:tcPr>
            <w:tcW w:w="1975" w:type="dxa"/>
          </w:tcPr>
          <w:p w14:paraId="11AA06DC" w14:textId="77777777" w:rsidR="0089508A" w:rsidRPr="00523BC8" w:rsidRDefault="0089508A" w:rsidP="00523BC8">
            <w:pPr>
              <w:pStyle w:val="TableHeaderRow"/>
              <w:rPr>
                <w:b/>
              </w:rPr>
            </w:pPr>
          </w:p>
        </w:tc>
        <w:tc>
          <w:tcPr>
            <w:tcW w:w="3690" w:type="dxa"/>
            <w:hideMark/>
          </w:tcPr>
          <w:p w14:paraId="42D5EBFB" w14:textId="77777777" w:rsidR="0089508A" w:rsidRDefault="0089508A" w:rsidP="00523BC8">
            <w:pPr>
              <w:pStyle w:val="TableHeaderRow"/>
              <w:rPr>
                <w:b/>
              </w:rPr>
            </w:pPr>
            <w:r w:rsidRPr="00523BC8">
              <w:rPr>
                <w:b/>
              </w:rPr>
              <w:t>New Sources</w:t>
            </w:r>
          </w:p>
        </w:tc>
        <w:tc>
          <w:tcPr>
            <w:tcW w:w="3685" w:type="dxa"/>
            <w:hideMark/>
          </w:tcPr>
          <w:p w14:paraId="23CACFA8" w14:textId="77777777" w:rsidR="0089508A" w:rsidRDefault="0089508A" w:rsidP="00523BC8">
            <w:pPr>
              <w:pStyle w:val="TableHeaderRow"/>
              <w:rPr>
                <w:b/>
              </w:rPr>
            </w:pPr>
            <w:r w:rsidRPr="00523BC8">
              <w:rPr>
                <w:b/>
              </w:rPr>
              <w:t>Existing Sources</w:t>
            </w:r>
          </w:p>
        </w:tc>
      </w:tr>
      <w:tr w:rsidR="0089508A" w14:paraId="69704982" w14:textId="77777777" w:rsidTr="00523BC8">
        <w:tc>
          <w:tcPr>
            <w:tcW w:w="1975" w:type="dxa"/>
            <w:vAlign w:val="top"/>
            <w:hideMark/>
          </w:tcPr>
          <w:p w14:paraId="5F31DCE0" w14:textId="77777777" w:rsidR="0089508A" w:rsidRPr="00523BC8" w:rsidRDefault="0089508A" w:rsidP="00523BC8">
            <w:pPr>
              <w:pStyle w:val="TableText"/>
              <w:rPr>
                <w:b/>
                <w:bCs/>
              </w:rPr>
            </w:pPr>
            <w:r w:rsidRPr="00523BC8">
              <w:rPr>
                <w:b/>
                <w:bCs/>
              </w:rPr>
              <w:t>Initial Notification</w:t>
            </w:r>
          </w:p>
        </w:tc>
        <w:tc>
          <w:tcPr>
            <w:tcW w:w="3690" w:type="dxa"/>
            <w:vAlign w:val="top"/>
            <w:hideMark/>
          </w:tcPr>
          <w:p w14:paraId="16F3787C" w14:textId="77777777" w:rsidR="0089508A" w:rsidRDefault="0089508A" w:rsidP="00523BC8">
            <w:pPr>
              <w:pStyle w:val="TableText"/>
            </w:pPr>
            <w:r>
              <w:t>July 7, 2008, or 180 days after startup, whichever is later</w:t>
            </w:r>
          </w:p>
        </w:tc>
        <w:tc>
          <w:tcPr>
            <w:tcW w:w="3685" w:type="dxa"/>
            <w:vAlign w:val="top"/>
            <w:hideMark/>
          </w:tcPr>
          <w:p w14:paraId="1561F13C" w14:textId="77777777" w:rsidR="0089508A" w:rsidRDefault="0089508A" w:rsidP="00523BC8">
            <w:pPr>
              <w:pStyle w:val="TableText"/>
            </w:pPr>
            <w:r>
              <w:t>January 11, 2010</w:t>
            </w:r>
          </w:p>
        </w:tc>
      </w:tr>
      <w:tr w:rsidR="0089508A" w14:paraId="3C038159" w14:textId="77777777" w:rsidTr="00523BC8">
        <w:tc>
          <w:tcPr>
            <w:tcW w:w="1975" w:type="dxa"/>
            <w:vAlign w:val="top"/>
            <w:hideMark/>
          </w:tcPr>
          <w:p w14:paraId="13C101B5" w14:textId="77777777" w:rsidR="0089508A" w:rsidRPr="00523BC8" w:rsidRDefault="0089508A" w:rsidP="00523BC8">
            <w:pPr>
              <w:pStyle w:val="TableText"/>
              <w:rPr>
                <w:b/>
                <w:bCs/>
              </w:rPr>
            </w:pPr>
            <w:r w:rsidRPr="00523BC8">
              <w:rPr>
                <w:b/>
                <w:bCs/>
              </w:rPr>
              <w:t>Compliance with rule</w:t>
            </w:r>
          </w:p>
        </w:tc>
        <w:tc>
          <w:tcPr>
            <w:tcW w:w="3690" w:type="dxa"/>
            <w:vAlign w:val="top"/>
            <w:hideMark/>
          </w:tcPr>
          <w:p w14:paraId="6E6B2B6F" w14:textId="77777777" w:rsidR="0089508A" w:rsidRDefault="0089508A" w:rsidP="00523BC8">
            <w:pPr>
              <w:pStyle w:val="TableText"/>
            </w:pPr>
            <w:r>
              <w:t>Immediately</w:t>
            </w:r>
          </w:p>
        </w:tc>
        <w:tc>
          <w:tcPr>
            <w:tcW w:w="3685" w:type="dxa"/>
            <w:vAlign w:val="top"/>
            <w:hideMark/>
          </w:tcPr>
          <w:p w14:paraId="206E2162" w14:textId="77777777" w:rsidR="0089508A" w:rsidRDefault="0089508A" w:rsidP="00523BC8">
            <w:pPr>
              <w:pStyle w:val="TableText"/>
            </w:pPr>
            <w:r>
              <w:t>January 10, 2011</w:t>
            </w:r>
          </w:p>
        </w:tc>
      </w:tr>
      <w:tr w:rsidR="0089508A" w14:paraId="663632BB" w14:textId="77777777" w:rsidTr="00523BC8">
        <w:tc>
          <w:tcPr>
            <w:tcW w:w="1975" w:type="dxa"/>
            <w:vAlign w:val="top"/>
            <w:hideMark/>
          </w:tcPr>
          <w:p w14:paraId="6D85F784" w14:textId="77777777" w:rsidR="0089508A" w:rsidRPr="00523BC8" w:rsidRDefault="0089508A" w:rsidP="00523BC8">
            <w:pPr>
              <w:pStyle w:val="TableText"/>
              <w:rPr>
                <w:b/>
                <w:bCs/>
              </w:rPr>
            </w:pPr>
            <w:r w:rsidRPr="00523BC8">
              <w:rPr>
                <w:b/>
                <w:bCs/>
              </w:rPr>
              <w:t>Certification of Compliance</w:t>
            </w:r>
          </w:p>
        </w:tc>
        <w:tc>
          <w:tcPr>
            <w:tcW w:w="3690" w:type="dxa"/>
            <w:vAlign w:val="top"/>
            <w:hideMark/>
          </w:tcPr>
          <w:p w14:paraId="47756808" w14:textId="77777777" w:rsidR="0089508A" w:rsidRDefault="0089508A" w:rsidP="00523BC8">
            <w:pPr>
              <w:pStyle w:val="TableText"/>
            </w:pPr>
            <w:r>
              <w:t>Included with Initial Notification</w:t>
            </w:r>
          </w:p>
        </w:tc>
        <w:tc>
          <w:tcPr>
            <w:tcW w:w="3685" w:type="dxa"/>
            <w:vAlign w:val="top"/>
            <w:hideMark/>
          </w:tcPr>
          <w:p w14:paraId="7E24D617" w14:textId="77777777" w:rsidR="0089508A" w:rsidRDefault="0089508A" w:rsidP="00523BC8">
            <w:pPr>
              <w:pStyle w:val="TableText"/>
            </w:pPr>
            <w:r>
              <w:t>March 11, 2011</w:t>
            </w:r>
          </w:p>
        </w:tc>
      </w:tr>
      <w:tr w:rsidR="0089508A" w14:paraId="4E36BAB0" w14:textId="77777777" w:rsidTr="00523BC8">
        <w:tc>
          <w:tcPr>
            <w:tcW w:w="1975" w:type="dxa"/>
            <w:vAlign w:val="top"/>
            <w:hideMark/>
          </w:tcPr>
          <w:p w14:paraId="48450BDF" w14:textId="77777777" w:rsidR="0089508A" w:rsidRPr="00523BC8" w:rsidRDefault="0089508A" w:rsidP="00523BC8">
            <w:pPr>
              <w:pStyle w:val="TableText"/>
              <w:rPr>
                <w:b/>
                <w:bCs/>
              </w:rPr>
            </w:pPr>
            <w:r w:rsidRPr="00523BC8">
              <w:rPr>
                <w:b/>
                <w:bCs/>
              </w:rPr>
              <w:t>Training</w:t>
            </w:r>
          </w:p>
        </w:tc>
        <w:tc>
          <w:tcPr>
            <w:tcW w:w="3690" w:type="dxa"/>
            <w:vAlign w:val="top"/>
            <w:hideMark/>
          </w:tcPr>
          <w:p w14:paraId="1BE53EFC" w14:textId="77777777" w:rsidR="0089508A" w:rsidRDefault="0089508A" w:rsidP="00523BC8">
            <w:pPr>
              <w:pStyle w:val="TableText"/>
            </w:pPr>
            <w:r>
              <w:t>July 7, 2008, or 180 days after hire, whichever is later</w:t>
            </w:r>
          </w:p>
          <w:p w14:paraId="44ADFC46" w14:textId="77777777" w:rsidR="0089508A" w:rsidRDefault="0089508A" w:rsidP="00523BC8">
            <w:pPr>
              <w:pStyle w:val="TableText"/>
            </w:pPr>
            <w:r>
              <w:t>Refresher every 5 years</w:t>
            </w:r>
          </w:p>
        </w:tc>
        <w:tc>
          <w:tcPr>
            <w:tcW w:w="3685" w:type="dxa"/>
            <w:vAlign w:val="top"/>
            <w:hideMark/>
          </w:tcPr>
          <w:p w14:paraId="61B3E225" w14:textId="77777777" w:rsidR="0089508A" w:rsidRDefault="0089508A" w:rsidP="00523BC8">
            <w:pPr>
              <w:pStyle w:val="TableText"/>
            </w:pPr>
            <w:r>
              <w:t>January 9, 2011, or 180 days after hire, whichever is later</w:t>
            </w:r>
          </w:p>
          <w:p w14:paraId="4CF781AD" w14:textId="77777777" w:rsidR="0089508A" w:rsidRDefault="0089508A" w:rsidP="00523BC8">
            <w:pPr>
              <w:pStyle w:val="TableText"/>
            </w:pPr>
            <w:r>
              <w:t>Refresher every 5 years</w:t>
            </w:r>
          </w:p>
        </w:tc>
      </w:tr>
      <w:tr w:rsidR="0089508A" w14:paraId="37AE07AB" w14:textId="77777777" w:rsidTr="00523BC8">
        <w:trPr>
          <w:trHeight w:val="753"/>
        </w:trPr>
        <w:tc>
          <w:tcPr>
            <w:tcW w:w="1975" w:type="dxa"/>
            <w:vAlign w:val="top"/>
            <w:hideMark/>
          </w:tcPr>
          <w:p w14:paraId="24A4E0E9" w14:textId="77777777" w:rsidR="0089508A" w:rsidRPr="00523BC8" w:rsidRDefault="0089508A" w:rsidP="00523BC8">
            <w:pPr>
              <w:pStyle w:val="TableText"/>
              <w:rPr>
                <w:b/>
                <w:bCs/>
              </w:rPr>
            </w:pPr>
            <w:r w:rsidRPr="00523BC8">
              <w:rPr>
                <w:b/>
                <w:bCs/>
              </w:rPr>
              <w:t>Annual reporting</w:t>
            </w:r>
          </w:p>
        </w:tc>
        <w:tc>
          <w:tcPr>
            <w:tcW w:w="3690" w:type="dxa"/>
            <w:vAlign w:val="top"/>
            <w:hideMark/>
          </w:tcPr>
          <w:p w14:paraId="6454FE7E" w14:textId="77777777" w:rsidR="0089508A" w:rsidRDefault="0089508A" w:rsidP="00523BC8">
            <w:pPr>
              <w:pStyle w:val="TableText"/>
            </w:pPr>
            <w:r>
              <w:t>March 1 each year if changes or deviations occurred</w:t>
            </w:r>
          </w:p>
        </w:tc>
        <w:tc>
          <w:tcPr>
            <w:tcW w:w="3685" w:type="dxa"/>
            <w:vAlign w:val="top"/>
            <w:hideMark/>
          </w:tcPr>
          <w:p w14:paraId="2BB41C4A" w14:textId="77777777" w:rsidR="0089508A" w:rsidRDefault="0089508A" w:rsidP="00523BC8">
            <w:pPr>
              <w:pStyle w:val="TableText"/>
            </w:pPr>
            <w:r>
              <w:t>March 1 each year if changes or deviations occurred</w:t>
            </w:r>
          </w:p>
        </w:tc>
      </w:tr>
    </w:tbl>
    <w:p w14:paraId="2CBB4A3D" w14:textId="77777777" w:rsidR="00A03680" w:rsidRDefault="00A03680" w:rsidP="00261265">
      <w:pPr>
        <w:pStyle w:val="BodyText"/>
      </w:pPr>
    </w:p>
    <w:sectPr w:rsidR="00A03680" w:rsidSect="00A036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5A022" w14:textId="77777777" w:rsidR="00E151D0" w:rsidRDefault="00E151D0" w:rsidP="009136E7">
      <w:r>
        <w:separator/>
      </w:r>
    </w:p>
  </w:endnote>
  <w:endnote w:type="continuationSeparator" w:id="0">
    <w:p w14:paraId="0B2F2CB2" w14:textId="77777777" w:rsidR="00E151D0" w:rsidRDefault="00E151D0" w:rsidP="009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NLMJ E+ 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788D5" w14:textId="77777777" w:rsidR="009136E7" w:rsidRDefault="009136E7">
    <w:pPr>
      <w:pStyle w:val="Footer"/>
    </w:pPr>
    <w:r>
      <w:t>TCEQ 04/15/08</w:t>
    </w:r>
    <w:r>
      <w:tab/>
    </w:r>
    <w:r>
      <w:tab/>
    </w:r>
    <w:sdt>
      <w:sdtPr>
        <w:id w:val="1938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1AF91864" w14:textId="77777777" w:rsidR="009136E7" w:rsidRDefault="0091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CA4A8" w14:textId="77777777" w:rsidR="00E151D0" w:rsidRDefault="00E151D0" w:rsidP="009136E7">
      <w:r>
        <w:separator/>
      </w:r>
    </w:p>
  </w:footnote>
  <w:footnote w:type="continuationSeparator" w:id="0">
    <w:p w14:paraId="3868D7B9" w14:textId="77777777" w:rsidR="00E151D0" w:rsidRDefault="00E151D0" w:rsidP="00913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B8C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07700"/>
    <w:multiLevelType w:val="hybridMultilevel"/>
    <w:tmpl w:val="1656245C"/>
    <w:lvl w:ilvl="0" w:tplc="FFFFFFFF">
      <w:start w:val="1"/>
      <w:numFmt w:val="bullet"/>
      <w:lvlText w:val=""/>
      <w:lvlJc w:val="left"/>
      <w:pPr>
        <w:tabs>
          <w:tab w:val="num" w:pos="975"/>
        </w:tabs>
        <w:ind w:left="975"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6E10DE6"/>
    <w:multiLevelType w:val="hybridMultilevel"/>
    <w:tmpl w:val="C4A2EC76"/>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CE02F8D"/>
    <w:multiLevelType w:val="hybridMultilevel"/>
    <w:tmpl w:val="BE987BFA"/>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2DBB1F62"/>
    <w:multiLevelType w:val="hybridMultilevel"/>
    <w:tmpl w:val="4476D31A"/>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95160A4"/>
    <w:multiLevelType w:val="hybridMultilevel"/>
    <w:tmpl w:val="C94AB22A"/>
    <w:lvl w:ilvl="0" w:tplc="8144A002">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6008B1"/>
    <w:multiLevelType w:val="hybridMultilevel"/>
    <w:tmpl w:val="3A1E12E0"/>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4EFF4B06"/>
    <w:multiLevelType w:val="hybridMultilevel"/>
    <w:tmpl w:val="E90293CA"/>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7459A"/>
    <w:multiLevelType w:val="hybridMultilevel"/>
    <w:tmpl w:val="D20E0FEE"/>
    <w:lvl w:ilvl="0" w:tplc="FFFFFFFF">
      <w:start w:val="1"/>
      <w:numFmt w:val="bullet"/>
      <w:lvlText w:val=""/>
      <w:lvlJc w:val="left"/>
      <w:pPr>
        <w:tabs>
          <w:tab w:val="num" w:pos="855"/>
        </w:tabs>
        <w:ind w:left="855"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6A04F12"/>
    <w:multiLevelType w:val="hybridMultilevel"/>
    <w:tmpl w:val="A8487692"/>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1B2862"/>
    <w:multiLevelType w:val="hybridMultilevel"/>
    <w:tmpl w:val="03645B3A"/>
    <w:lvl w:ilvl="0" w:tplc="FFFFFFFF">
      <w:start w:val="1"/>
      <w:numFmt w:val="bullet"/>
      <w:lvlText w:val=""/>
      <w:lvlJc w:val="left"/>
      <w:pPr>
        <w:tabs>
          <w:tab w:val="num" w:pos="795"/>
        </w:tabs>
        <w:ind w:left="79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17312"/>
    <w:multiLevelType w:val="hybridMultilevel"/>
    <w:tmpl w:val="A2841DA2"/>
    <w:lvl w:ilvl="0" w:tplc="FFFFFFFF">
      <w:start w:val="1"/>
      <w:numFmt w:val="bullet"/>
      <w:lvlText w:val=""/>
      <w:lvlJc w:val="left"/>
      <w:pPr>
        <w:tabs>
          <w:tab w:val="num" w:pos="900"/>
        </w:tabs>
        <w:ind w:left="90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3"/>
  </w:num>
  <w:num w:numId="9">
    <w:abstractNumId w:val="20"/>
  </w:num>
  <w:num w:numId="10">
    <w:abstractNumId w:val="18"/>
  </w:num>
  <w:num w:numId="11">
    <w:abstractNumId w:val="7"/>
  </w:num>
  <w:num w:numId="12">
    <w:abstractNumId w:val="9"/>
  </w:num>
  <w:num w:numId="13">
    <w:abstractNumId w:val="8"/>
  </w:num>
  <w:num w:numId="14">
    <w:abstractNumId w:val="21"/>
  </w:num>
  <w:num w:numId="15">
    <w:abstractNumId w:val="10"/>
  </w:num>
  <w:num w:numId="16">
    <w:abstractNumId w:val="19"/>
  </w:num>
  <w:num w:numId="17">
    <w:abstractNumId w:val="11"/>
  </w:num>
  <w:num w:numId="18">
    <w:abstractNumId w:val="22"/>
  </w:num>
  <w:num w:numId="19">
    <w:abstractNumId w:val="13"/>
  </w:num>
  <w:num w:numId="20">
    <w:abstractNumId w:val="12"/>
  </w:num>
  <w:num w:numId="21">
    <w:abstractNumId w:val="15"/>
  </w:num>
  <w:num w:numId="22">
    <w:abstractNumId w:val="17"/>
  </w:num>
  <w:num w:numId="23">
    <w:abstractNumId w:val="16"/>
  </w:num>
  <w:num w:numId="24">
    <w:abstractNumId w:val="14"/>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08A"/>
    <w:rsid w:val="00051B7F"/>
    <w:rsid w:val="00116413"/>
    <w:rsid w:val="00261265"/>
    <w:rsid w:val="00267310"/>
    <w:rsid w:val="002677C4"/>
    <w:rsid w:val="00297D38"/>
    <w:rsid w:val="002D4E2D"/>
    <w:rsid w:val="00351FD0"/>
    <w:rsid w:val="00393C75"/>
    <w:rsid w:val="003B41DF"/>
    <w:rsid w:val="003F5ABB"/>
    <w:rsid w:val="00444208"/>
    <w:rsid w:val="004D2CA6"/>
    <w:rsid w:val="00523BC8"/>
    <w:rsid w:val="005464F5"/>
    <w:rsid w:val="0055212A"/>
    <w:rsid w:val="005F337F"/>
    <w:rsid w:val="0065525B"/>
    <w:rsid w:val="00670F62"/>
    <w:rsid w:val="006730D8"/>
    <w:rsid w:val="006C6CEB"/>
    <w:rsid w:val="0072249E"/>
    <w:rsid w:val="00727F1C"/>
    <w:rsid w:val="00732647"/>
    <w:rsid w:val="00746472"/>
    <w:rsid w:val="0075745D"/>
    <w:rsid w:val="007A629A"/>
    <w:rsid w:val="007F1D92"/>
    <w:rsid w:val="008755F2"/>
    <w:rsid w:val="0089508A"/>
    <w:rsid w:val="008C5ABB"/>
    <w:rsid w:val="008E33DD"/>
    <w:rsid w:val="009136E7"/>
    <w:rsid w:val="00974E8C"/>
    <w:rsid w:val="00996B99"/>
    <w:rsid w:val="00A03680"/>
    <w:rsid w:val="00A2193F"/>
    <w:rsid w:val="00A260D7"/>
    <w:rsid w:val="00A75BA9"/>
    <w:rsid w:val="00AB074C"/>
    <w:rsid w:val="00B3681B"/>
    <w:rsid w:val="00B4403F"/>
    <w:rsid w:val="00BF000E"/>
    <w:rsid w:val="00C47FDA"/>
    <w:rsid w:val="00C95864"/>
    <w:rsid w:val="00D44331"/>
    <w:rsid w:val="00D9218C"/>
    <w:rsid w:val="00DB788B"/>
    <w:rsid w:val="00E14844"/>
    <w:rsid w:val="00E151D0"/>
    <w:rsid w:val="00E910F6"/>
    <w:rsid w:val="00EF6A56"/>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9E0D6"/>
  <w15:docId w15:val="{15D3D3FF-0DE9-45C5-8510-862D4AB9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444208"/>
    <w:pPr>
      <w:spacing w:before="0" w:after="0"/>
    </w:pPr>
    <w:rPr>
      <w:rFonts w:ascii="Times New Roman" w:eastAsia="Times New Roman" w:hAnsi="Times New Roman"/>
    </w:rPr>
  </w:style>
  <w:style w:type="paragraph" w:styleId="Heading1">
    <w:name w:val="heading 1"/>
    <w:next w:val="BodyText"/>
    <w:link w:val="Heading1Char"/>
    <w:uiPriority w:val="9"/>
    <w:qFormat/>
    <w:rsid w:val="00444208"/>
    <w:pPr>
      <w:keepNext/>
      <w:keepLines/>
      <w:spacing w:before="240" w:after="120"/>
      <w:outlineLvl w:val="0"/>
    </w:pPr>
    <w:rPr>
      <w:rFonts w:ascii="Verdana" w:eastAsiaTheme="majorEastAsia" w:hAnsi="Verdana"/>
      <w:b/>
      <w:bCs/>
      <w:sz w:val="28"/>
      <w:szCs w:val="28"/>
    </w:rPr>
  </w:style>
  <w:style w:type="paragraph" w:styleId="Heading2">
    <w:name w:val="heading 2"/>
    <w:basedOn w:val="Normal"/>
    <w:next w:val="BodyText"/>
    <w:link w:val="Heading2Char"/>
    <w:uiPriority w:val="9"/>
    <w:qFormat/>
    <w:rsid w:val="00523BC8"/>
    <w:pPr>
      <w:spacing w:before="200" w:after="160"/>
      <w:outlineLvl w:val="1"/>
    </w:pPr>
    <w:rPr>
      <w:rFonts w:ascii="Verdana" w:hAnsi="Verdana"/>
      <w:b/>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208"/>
    <w:rPr>
      <w:rFonts w:ascii="Verdana" w:eastAsiaTheme="majorEastAsia" w:hAnsi="Verdana"/>
      <w:b/>
      <w:bCs/>
      <w:sz w:val="28"/>
      <w:szCs w:val="28"/>
    </w:rPr>
  </w:style>
  <w:style w:type="character" w:customStyle="1" w:styleId="Heading2Char">
    <w:name w:val="Heading 2 Char"/>
    <w:basedOn w:val="DefaultParagraphFont"/>
    <w:link w:val="Heading2"/>
    <w:uiPriority w:val="9"/>
    <w:rsid w:val="00523BC8"/>
    <w:rPr>
      <w:rFonts w:ascii="Verdana" w:eastAsia="Times New Roman" w:hAnsi="Verdana"/>
      <w:b/>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523BC8"/>
    <w:pPr>
      <w:spacing w:before="120" w:after="240"/>
    </w:pPr>
    <w:rPr>
      <w:rFonts w:ascii="Lucida Bright" w:hAnsi="Lucida Bright" w:cstheme="minorBidi"/>
      <w:sz w:val="22"/>
    </w:rPr>
  </w:style>
  <w:style w:type="character" w:customStyle="1" w:styleId="BodyTextChar">
    <w:name w:val="Body Text Char"/>
    <w:basedOn w:val="DefaultParagraphFont"/>
    <w:link w:val="BodyText"/>
    <w:rsid w:val="00523BC8"/>
    <w:rPr>
      <w:rFonts w:ascii="Lucida Bright" w:hAnsi="Lucida Bright"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523BC8"/>
    <w:pPr>
      <w:numPr>
        <w:numId w:val="12"/>
      </w:numPr>
      <w:spacing w:before="80" w:after="80"/>
      <w:ind w:left="763"/>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523BC8"/>
    <w:pPr>
      <w:numPr>
        <w:numId w:val="24"/>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Default">
    <w:name w:val="Default"/>
    <w:rsid w:val="0089508A"/>
    <w:pPr>
      <w:autoSpaceDE w:val="0"/>
      <w:autoSpaceDN w:val="0"/>
      <w:adjustRightInd w:val="0"/>
      <w:spacing w:before="0" w:after="0"/>
    </w:pPr>
    <w:rPr>
      <w:rFonts w:ascii="KNLMJ E+ Melior" w:eastAsia="Times New Roman" w:hAnsi="KNLMJ E+ Melior" w:cs="KNLMJ E+ Melior"/>
      <w:color w:val="000000"/>
    </w:rPr>
  </w:style>
  <w:style w:type="paragraph" w:customStyle="1" w:styleId="CM11">
    <w:name w:val="CM11"/>
    <w:basedOn w:val="Default"/>
    <w:next w:val="Default"/>
    <w:rsid w:val="0089508A"/>
    <w:pPr>
      <w:spacing w:line="200" w:lineRule="atLeast"/>
    </w:pPr>
    <w:rPr>
      <w:rFonts w:cs="Times New Roman"/>
      <w:color w:val="auto"/>
    </w:rPr>
  </w:style>
  <w:style w:type="paragraph" w:customStyle="1" w:styleId="CM10">
    <w:name w:val="CM10"/>
    <w:basedOn w:val="Default"/>
    <w:next w:val="Default"/>
    <w:rsid w:val="0089508A"/>
    <w:pPr>
      <w:spacing w:line="200" w:lineRule="atLeast"/>
    </w:pPr>
    <w:rPr>
      <w:rFonts w:cs="Times New Roman"/>
      <w:color w:val="auto"/>
    </w:rPr>
  </w:style>
  <w:style w:type="paragraph" w:customStyle="1" w:styleId="Heading100">
    <w:name w:val="Heading 100"/>
    <w:basedOn w:val="Heading8"/>
    <w:uiPriority w:val="99"/>
    <w:qFormat/>
    <w:rsid w:val="00670F62"/>
    <w:rPr>
      <w:b/>
    </w:rPr>
  </w:style>
  <w:style w:type="character" w:styleId="UnresolvedMention">
    <w:name w:val="Unresolved Mention"/>
    <w:basedOn w:val="DefaultParagraphFont"/>
    <w:uiPriority w:val="99"/>
    <w:semiHidden/>
    <w:unhideWhenUsed/>
    <w:rsid w:val="00444208"/>
    <w:rPr>
      <w:color w:val="605E5C"/>
      <w:shd w:val="clear" w:color="auto" w:fill="E1DFDD"/>
    </w:rPr>
  </w:style>
  <w:style w:type="paragraph" w:customStyle="1" w:styleId="TableHeaderRow">
    <w:name w:val="Table Header Row"/>
    <w:basedOn w:val="Normal"/>
    <w:uiPriority w:val="99"/>
    <w:rsid w:val="00523BC8"/>
    <w:pPr>
      <w:spacing w:before="60" w:after="60"/>
    </w:pPr>
    <w:rPr>
      <w:rFonts w:ascii="Verdana" w:hAnsi="Verdana" w:cstheme="minorBidi"/>
      <w:b/>
      <w:sz w:val="20"/>
    </w:rPr>
  </w:style>
  <w:style w:type="paragraph" w:customStyle="1" w:styleId="TableText">
    <w:name w:val="Table Text"/>
    <w:basedOn w:val="BodyText"/>
    <w:uiPriority w:val="99"/>
    <w:rsid w:val="00523BC8"/>
    <w:pPr>
      <w:spacing w:before="60" w:after="60"/>
    </w:pPr>
    <w:rPr>
      <w:rFonts w:ascii="Verdana" w:eastAsia="Times New Roman"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nographs.iarc.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tp.niehs.nih.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dc122a2-aaf7-4d50-a709-10f74d13b3a1">
      <UserInfo>
        <DisplayName>Sheila Serna</DisplayName>
        <AccountId>16</AccountId>
        <AccountType/>
      </UserInfo>
    </AssignedTo>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4AA151E8CE9749B34E16F15F42E331" ma:contentTypeVersion="5" ma:contentTypeDescription="Create a new document." ma:contentTypeScope="" ma:versionID="d9a19ae633df2c67c880fccc54d2de16">
  <xsd:schema xmlns:xsd="http://www.w3.org/2001/XMLSchema" xmlns:xs="http://www.w3.org/2001/XMLSchema" xmlns:p="http://schemas.microsoft.com/office/2006/metadata/properties" xmlns:ns2="6dc122a2-aaf7-4d50-a709-10f74d13b3a1" targetNamespace="http://schemas.microsoft.com/office/2006/metadata/properties" ma:root="true" ma:fieldsID="407c19b7239097a0b48f6f04d93dd382" ns2:_="">
    <xsd:import namespace="6dc122a2-aaf7-4d50-a709-10f74d13b3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122a2-aaf7-4d50-a709-10f74d13b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2" nillable="true" ma:displayName="Assigned To" ma:description="Who is assigned to review this document?"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A6927-09C5-4FDB-966D-68BBBE6FAD5C}">
  <ds:schemaRefs>
    <ds:schemaRef ds:uri="6dc122a2-aaf7-4d50-a709-10f74d13b3a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18E4EA-D31E-4B9F-8FAB-E187000C1A6D}">
  <ds:schemaRefs>
    <ds:schemaRef ds:uri="http://schemas.openxmlformats.org/officeDocument/2006/bibliography"/>
  </ds:schemaRefs>
</ds:datastoreItem>
</file>

<file path=customXml/itemProps3.xml><?xml version="1.0" encoding="utf-8"?>
<ds:datastoreItem xmlns:ds="http://schemas.openxmlformats.org/officeDocument/2006/customXml" ds:itemID="{90FCD7A6-02B4-4D94-8C38-08DE94516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122a2-aaf7-4d50-a709-10f74d13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BFF96-6416-432B-B830-C778CFB36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Small Business and Local Government Assistance</Manager>
  <Company>TCEQ</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Source NESHAP for Miscellaneous Surface Coating</dc:title>
  <dc:subject>Area source NESHAPs for surface coating.</dc:subject>
  <dc:creator>TCEQ</dc:creator>
  <cp:keywords>Surface coating; NESHAP; air requirements;</cp:keywords>
  <cp:lastModifiedBy>Traci Letney</cp:lastModifiedBy>
  <cp:revision>5</cp:revision>
  <dcterms:created xsi:type="dcterms:W3CDTF">2021-11-30T21:47:00Z</dcterms:created>
  <dcterms:modified xsi:type="dcterms:W3CDTF">2021-11-30T22:41:00Z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0x0101006F4AA151E8CE9749B34E16F15F42E331</vt:lpwstr>
  </property>
</Properties>
</file>